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3F3F2" w14:textId="77777777" w:rsidR="00183E50" w:rsidRPr="00E76F37" w:rsidRDefault="00183E50" w:rsidP="00183E50">
      <w:pPr>
        <w:spacing w:after="240" w:line="240" w:lineRule="auto"/>
        <w:jc w:val="both"/>
        <w:rPr>
          <w:b/>
          <w:bCs/>
        </w:rPr>
      </w:pPr>
      <w:r w:rsidRPr="00E76F37">
        <w:rPr>
          <w:b/>
          <w:bCs/>
        </w:rPr>
        <w:t>Chapter 28</w:t>
      </w:r>
      <w:r>
        <w:rPr>
          <w:b/>
          <w:bCs/>
        </w:rPr>
        <w:t xml:space="preserve">   </w:t>
      </w:r>
      <w:r w:rsidRPr="00E76F37">
        <w:rPr>
          <w:b/>
          <w:bCs/>
        </w:rPr>
        <w:t>MISCELLANEOUS OFFENSES AND PROVISIONS</w:t>
      </w:r>
    </w:p>
    <w:p w14:paraId="1AA24DFA" w14:textId="77777777" w:rsidR="00183E50" w:rsidRDefault="00183E50" w:rsidP="00183E50">
      <w:pPr>
        <w:spacing w:after="240" w:line="240" w:lineRule="auto"/>
        <w:jc w:val="both"/>
      </w:pPr>
    </w:p>
    <w:p w14:paraId="5F963919" w14:textId="77777777" w:rsidR="00183E50" w:rsidRPr="00E76F37" w:rsidRDefault="00183E50" w:rsidP="00183E50">
      <w:pPr>
        <w:spacing w:after="240" w:line="240" w:lineRule="auto"/>
        <w:jc w:val="both"/>
      </w:pPr>
      <w:r w:rsidRPr="00E76F37">
        <w:t>* * *</w:t>
      </w:r>
    </w:p>
    <w:p w14:paraId="32457600" w14:textId="62594DB5" w:rsidR="00AF12D7" w:rsidRPr="00D27C44" w:rsidRDefault="00AF12D7" w:rsidP="00F4603F">
      <w:pPr>
        <w:pStyle w:val="Heading3"/>
        <w:spacing w:before="0" w:after="240" w:line="240" w:lineRule="auto"/>
        <w:jc w:val="both"/>
        <w:rPr>
          <w:rFonts w:eastAsia="Times New Roman" w:cs="Arial"/>
          <w:szCs w:val="24"/>
        </w:rPr>
      </w:pPr>
      <w:r w:rsidRPr="00D27C44">
        <w:rPr>
          <w:rFonts w:eastAsia="Times New Roman" w:cs="Arial"/>
          <w:szCs w:val="24"/>
        </w:rPr>
        <w:t>ARTICLE IV.</w:t>
      </w:r>
      <w:r w:rsidR="00183E50" w:rsidRPr="00D27C44">
        <w:rPr>
          <w:rFonts w:eastAsia="Times New Roman" w:cs="Arial"/>
          <w:szCs w:val="24"/>
        </w:rPr>
        <w:t xml:space="preserve">  </w:t>
      </w:r>
      <w:r w:rsidRPr="00D27C44">
        <w:rPr>
          <w:rFonts w:eastAsia="Times New Roman" w:cs="Arial"/>
          <w:szCs w:val="24"/>
        </w:rPr>
        <w:t>CORRECTIONAL FACILITIES AND ALTERNATE HOUSING FACILITIES</w:t>
      </w:r>
    </w:p>
    <w:p w14:paraId="5595C5FB" w14:textId="77777777" w:rsidR="00F4603F" w:rsidRPr="00D27C44" w:rsidRDefault="00F4603F" w:rsidP="00F4603F">
      <w:pPr>
        <w:spacing w:after="240" w:line="240" w:lineRule="auto"/>
        <w:jc w:val="both"/>
      </w:pPr>
      <w:bookmarkStart w:id="0" w:name="BK_A6CC4EE560F9F53C944960FF18785AFF"/>
      <w:bookmarkEnd w:id="0"/>
      <w:r w:rsidRPr="00D27C44">
        <w:t>* * *</w:t>
      </w:r>
    </w:p>
    <w:p w14:paraId="0D1EB3C0" w14:textId="02393003" w:rsidR="00AF12D7" w:rsidRPr="00D27C44" w:rsidRDefault="00AF12D7" w:rsidP="00183E50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bookmarkStart w:id="1" w:name="BK_79FA9538F1D6ABB7FE8F286D863B2C91"/>
      <w:bookmarkEnd w:id="1"/>
      <w:r w:rsidRPr="00D27C44">
        <w:rPr>
          <w:rFonts w:cs="Arial"/>
          <w:color w:val="auto"/>
          <w:szCs w:val="24"/>
        </w:rPr>
        <w:t>Sec. 28-155.</w:t>
      </w:r>
      <w:r w:rsidR="00183E50" w:rsidRPr="00D27C44">
        <w:rPr>
          <w:rFonts w:cs="Arial"/>
          <w:color w:val="auto"/>
          <w:szCs w:val="24"/>
        </w:rPr>
        <w:tab/>
      </w:r>
      <w:r w:rsidRPr="00D27C44">
        <w:rPr>
          <w:rFonts w:cs="Arial"/>
          <w:color w:val="auto"/>
          <w:szCs w:val="24"/>
        </w:rPr>
        <w:t>Permit applications; renewals.</w:t>
      </w:r>
    </w:p>
    <w:p w14:paraId="6DD90F97" w14:textId="77777777" w:rsidR="00F4603F" w:rsidRPr="00D27C44" w:rsidRDefault="00F4603F" w:rsidP="00F4603F">
      <w:pPr>
        <w:spacing w:after="240" w:line="240" w:lineRule="auto"/>
        <w:jc w:val="both"/>
      </w:pPr>
      <w:r w:rsidRPr="00D27C44">
        <w:t>* * *</w:t>
      </w:r>
    </w:p>
    <w:p w14:paraId="30B73044" w14:textId="1206CC5D" w:rsidR="00F4603F" w:rsidRPr="00D27C44" w:rsidRDefault="00AF12D7" w:rsidP="00183E50">
      <w:pPr>
        <w:pStyle w:val="list0"/>
        <w:spacing w:after="240"/>
        <w:ind w:left="720" w:hanging="720"/>
        <w:rPr>
          <w:sz w:val="24"/>
          <w:szCs w:val="24"/>
        </w:rPr>
      </w:pPr>
      <w:r w:rsidRPr="00D27C44">
        <w:rPr>
          <w:sz w:val="24"/>
          <w:szCs w:val="24"/>
        </w:rPr>
        <w:t>(b)</w:t>
      </w:r>
      <w:r w:rsidR="00183E50" w:rsidRPr="00D27C44">
        <w:rPr>
          <w:sz w:val="24"/>
          <w:szCs w:val="24"/>
        </w:rPr>
        <w:tab/>
      </w:r>
      <w:r w:rsidRPr="00D27C44">
        <w:rPr>
          <w:sz w:val="24"/>
          <w:szCs w:val="24"/>
        </w:rPr>
        <w:t>The application shall be accompanied by the following:</w:t>
      </w:r>
    </w:p>
    <w:p w14:paraId="0CA57E83" w14:textId="77777777" w:rsidR="00183E50" w:rsidRPr="00D27C44" w:rsidRDefault="00F4603F" w:rsidP="00183E50">
      <w:pPr>
        <w:spacing w:after="240" w:line="240" w:lineRule="auto"/>
        <w:ind w:left="1440" w:hanging="720"/>
        <w:jc w:val="both"/>
      </w:pPr>
      <w:r w:rsidRPr="00D27C44">
        <w:t>* * *</w:t>
      </w:r>
    </w:p>
    <w:p w14:paraId="31343D5E" w14:textId="082B9FFE" w:rsidR="00F4603F" w:rsidRPr="00D27C44" w:rsidRDefault="00AF12D7" w:rsidP="00183E50">
      <w:pPr>
        <w:pStyle w:val="list1"/>
        <w:spacing w:after="240"/>
        <w:ind w:left="1440" w:hanging="720"/>
        <w:rPr>
          <w:sz w:val="24"/>
          <w:szCs w:val="24"/>
        </w:rPr>
      </w:pPr>
      <w:r w:rsidRPr="00D27C44">
        <w:rPr>
          <w:sz w:val="24"/>
          <w:szCs w:val="24"/>
        </w:rPr>
        <w:t>(11)</w:t>
      </w:r>
      <w:r w:rsidR="00183E50" w:rsidRPr="00D27C44">
        <w:rPr>
          <w:sz w:val="24"/>
          <w:szCs w:val="24"/>
        </w:rPr>
        <w:tab/>
      </w:r>
      <w:r w:rsidRPr="00D27C44">
        <w:rPr>
          <w:sz w:val="24"/>
          <w:szCs w:val="24"/>
        </w:rPr>
        <w:t xml:space="preserve">Upon renewal for an alternate housing facility, </w:t>
      </w:r>
      <w:r w:rsidR="000C183C" w:rsidRPr="00D27C44">
        <w:rPr>
          <w:sz w:val="24"/>
          <w:szCs w:val="24"/>
          <w:u w:val="single"/>
        </w:rPr>
        <w:t xml:space="preserve">written confirmation from the director that the alternate housing facility for which the renewal is being sought appears on the </w:t>
      </w:r>
      <w:r w:rsidR="00CF528B" w:rsidRPr="00D27C44">
        <w:rPr>
          <w:sz w:val="24"/>
          <w:szCs w:val="24"/>
          <w:u w:val="single"/>
        </w:rPr>
        <w:t xml:space="preserve">list </w:t>
      </w:r>
      <w:r w:rsidR="00662295" w:rsidRPr="00D27C44">
        <w:rPr>
          <w:sz w:val="24"/>
          <w:szCs w:val="24"/>
          <w:u w:val="single"/>
        </w:rPr>
        <w:t xml:space="preserve">most recently </w:t>
      </w:r>
      <w:r w:rsidR="00B17062" w:rsidRPr="00D27C44">
        <w:rPr>
          <w:sz w:val="24"/>
          <w:szCs w:val="24"/>
          <w:u w:val="single"/>
        </w:rPr>
        <w:t>received by the director from the TDCJ</w:t>
      </w:r>
      <w:r w:rsidR="000C183C" w:rsidRPr="00D27C44">
        <w:rPr>
          <w:sz w:val="24"/>
          <w:szCs w:val="24"/>
          <w:u w:val="single"/>
        </w:rPr>
        <w:t xml:space="preserve"> of facilities approved by the TDCJ</w:t>
      </w:r>
      <w:r w:rsidR="0033221E" w:rsidRPr="00D27C44">
        <w:rPr>
          <w:sz w:val="24"/>
          <w:szCs w:val="24"/>
          <w:u w:val="single"/>
        </w:rPr>
        <w:t xml:space="preserve">, or in the alternative, </w:t>
      </w:r>
      <w:r w:rsidRPr="00D27C44">
        <w:rPr>
          <w:sz w:val="24"/>
          <w:szCs w:val="24"/>
        </w:rPr>
        <w:t>proof of the continued approval of the TDCJ; and</w:t>
      </w:r>
    </w:p>
    <w:p w14:paraId="3BBF9811" w14:textId="76CD13F0" w:rsidR="00F4603F" w:rsidRPr="00D27C44" w:rsidRDefault="00F4603F" w:rsidP="00F4603F">
      <w:pPr>
        <w:spacing w:after="240" w:line="240" w:lineRule="auto"/>
        <w:jc w:val="both"/>
      </w:pPr>
      <w:bookmarkStart w:id="2" w:name="BK_731E618DA09535A7052D938BC9B7D414"/>
      <w:bookmarkStart w:id="3" w:name="BK_DCBC55C3A12FB93E86F7359DE8E3BF70"/>
      <w:bookmarkEnd w:id="2"/>
      <w:bookmarkEnd w:id="3"/>
      <w:r w:rsidRPr="00D27C44">
        <w:t>* * *</w:t>
      </w:r>
      <w:bookmarkStart w:id="4" w:name="_GoBack"/>
      <w:bookmarkEnd w:id="4"/>
    </w:p>
    <w:p w14:paraId="6D14C00F" w14:textId="2BA4762D" w:rsidR="00AF12D7" w:rsidRPr="00D27C44" w:rsidRDefault="00AF12D7" w:rsidP="00183E50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r w:rsidRPr="00D27C44">
        <w:rPr>
          <w:rFonts w:cs="Arial"/>
          <w:color w:val="auto"/>
          <w:szCs w:val="24"/>
        </w:rPr>
        <w:t>Sec. 28-157.</w:t>
      </w:r>
      <w:r w:rsidR="00183E50" w:rsidRPr="00D27C44">
        <w:rPr>
          <w:rFonts w:cs="Arial"/>
          <w:color w:val="auto"/>
          <w:szCs w:val="24"/>
        </w:rPr>
        <w:tab/>
      </w:r>
      <w:r w:rsidRPr="00D27C44">
        <w:rPr>
          <w:rFonts w:cs="Arial"/>
          <w:color w:val="auto"/>
          <w:szCs w:val="24"/>
        </w:rPr>
        <w:t>Operating requirements.</w:t>
      </w:r>
    </w:p>
    <w:p w14:paraId="2905723B" w14:textId="378DC6C2" w:rsidR="005D46A0" w:rsidRPr="00D27C44" w:rsidRDefault="00F4603F" w:rsidP="00183E50">
      <w:pPr>
        <w:pStyle w:val="list0"/>
        <w:spacing w:after="240"/>
        <w:ind w:left="720" w:hanging="720"/>
        <w:rPr>
          <w:sz w:val="24"/>
          <w:szCs w:val="24"/>
          <w:u w:val="single"/>
        </w:rPr>
      </w:pPr>
      <w:r w:rsidRPr="00D27C44">
        <w:rPr>
          <w:iCs/>
          <w:sz w:val="24"/>
          <w:szCs w:val="24"/>
        </w:rPr>
        <w:t>(a)</w:t>
      </w:r>
      <w:r w:rsidR="00183E50" w:rsidRPr="00D27C44">
        <w:rPr>
          <w:iCs/>
          <w:sz w:val="24"/>
          <w:szCs w:val="24"/>
        </w:rPr>
        <w:tab/>
      </w:r>
      <w:r w:rsidR="005D46A0" w:rsidRPr="00D27C44">
        <w:rPr>
          <w:i/>
          <w:sz w:val="24"/>
          <w:szCs w:val="24"/>
          <w:u w:val="single"/>
        </w:rPr>
        <w:t xml:space="preserve">Certificate of </w:t>
      </w:r>
      <w:r w:rsidR="005416F1">
        <w:rPr>
          <w:i/>
          <w:sz w:val="24"/>
          <w:szCs w:val="24"/>
          <w:u w:val="single"/>
        </w:rPr>
        <w:t>o</w:t>
      </w:r>
      <w:r w:rsidR="005D46A0" w:rsidRPr="00D27C44">
        <w:rPr>
          <w:i/>
          <w:sz w:val="24"/>
          <w:szCs w:val="24"/>
          <w:u w:val="single"/>
        </w:rPr>
        <w:t>ccupancy</w:t>
      </w:r>
      <w:r w:rsidR="005D46A0" w:rsidRPr="00D27C44">
        <w:rPr>
          <w:sz w:val="24"/>
          <w:szCs w:val="24"/>
          <w:u w:val="single"/>
        </w:rPr>
        <w:t xml:space="preserve">. The owner or operator of a facility shall </w:t>
      </w:r>
      <w:r w:rsidR="00591FDD">
        <w:rPr>
          <w:sz w:val="24"/>
          <w:szCs w:val="24"/>
          <w:u w:val="single"/>
        </w:rPr>
        <w:t>maintain</w:t>
      </w:r>
      <w:r w:rsidR="005D46A0" w:rsidRPr="00D27C44">
        <w:rPr>
          <w:sz w:val="24"/>
          <w:szCs w:val="24"/>
          <w:u w:val="single"/>
        </w:rPr>
        <w:t xml:space="preserve"> a certificate of occupancy for every building of </w:t>
      </w:r>
      <w:r w:rsidR="00C867CC" w:rsidRPr="00D27C44">
        <w:rPr>
          <w:sz w:val="24"/>
          <w:szCs w:val="24"/>
          <w:u w:val="single"/>
        </w:rPr>
        <w:t>the</w:t>
      </w:r>
      <w:r w:rsidR="005D46A0" w:rsidRPr="00D27C44">
        <w:rPr>
          <w:sz w:val="24"/>
          <w:szCs w:val="24"/>
          <w:u w:val="single"/>
        </w:rPr>
        <w:t xml:space="preserve"> facility </w:t>
      </w:r>
      <w:r w:rsidR="00591FDD">
        <w:rPr>
          <w:sz w:val="24"/>
          <w:szCs w:val="24"/>
          <w:u w:val="single"/>
        </w:rPr>
        <w:t>except as otherwise allowed under the Building Code</w:t>
      </w:r>
      <w:r w:rsidR="005D46A0" w:rsidRPr="00D27C44">
        <w:rPr>
          <w:sz w:val="24"/>
          <w:szCs w:val="24"/>
          <w:u w:val="single"/>
        </w:rPr>
        <w:t>.</w:t>
      </w:r>
    </w:p>
    <w:p w14:paraId="628A79F5" w14:textId="5638A27D" w:rsidR="00F4603F" w:rsidRPr="00D27C44" w:rsidRDefault="00F4603F" w:rsidP="00183E50">
      <w:pPr>
        <w:pStyle w:val="list0"/>
        <w:spacing w:after="240"/>
        <w:ind w:left="720" w:hanging="720"/>
        <w:rPr>
          <w:sz w:val="24"/>
          <w:szCs w:val="24"/>
        </w:rPr>
      </w:pPr>
      <w:r w:rsidRPr="00D27C44">
        <w:rPr>
          <w:sz w:val="24"/>
          <w:szCs w:val="24"/>
          <w:u w:val="single"/>
        </w:rPr>
        <w:t>(b)</w:t>
      </w:r>
      <w:r w:rsidR="00183E50" w:rsidRPr="00D27C44">
        <w:rPr>
          <w:sz w:val="24"/>
          <w:szCs w:val="24"/>
          <w:u w:val="single"/>
        </w:rPr>
        <w:tab/>
      </w:r>
      <w:r w:rsidR="00AF12D7" w:rsidRPr="00D27C44">
        <w:rPr>
          <w:i/>
          <w:iCs/>
          <w:sz w:val="24"/>
          <w:szCs w:val="24"/>
        </w:rPr>
        <w:t>Posting.</w:t>
      </w:r>
      <w:r w:rsidR="00AF12D7" w:rsidRPr="00D27C44">
        <w:rPr>
          <w:sz w:val="24"/>
          <w:szCs w:val="24"/>
        </w:rPr>
        <w:t xml:space="preserve"> The owner or operator of a facility shall display at the principal public entrance of the facility that is readily available to residents and visitors:</w:t>
      </w:r>
    </w:p>
    <w:p w14:paraId="3A79ABAC" w14:textId="0911E296" w:rsidR="00F4603F" w:rsidRPr="00D27C44" w:rsidRDefault="00AF12D7" w:rsidP="00183E50">
      <w:pPr>
        <w:pStyle w:val="list1"/>
        <w:spacing w:after="240"/>
        <w:ind w:left="1440" w:hanging="720"/>
        <w:rPr>
          <w:sz w:val="24"/>
          <w:szCs w:val="24"/>
        </w:rPr>
      </w:pPr>
      <w:r w:rsidRPr="00D27C44">
        <w:rPr>
          <w:sz w:val="24"/>
          <w:szCs w:val="24"/>
        </w:rPr>
        <w:t>(1)</w:t>
      </w:r>
      <w:r w:rsidR="00183E50" w:rsidRPr="00D27C44">
        <w:rPr>
          <w:sz w:val="24"/>
          <w:szCs w:val="24"/>
        </w:rPr>
        <w:tab/>
      </w:r>
      <w:r w:rsidRPr="00D27C44">
        <w:rPr>
          <w:sz w:val="24"/>
          <w:szCs w:val="24"/>
        </w:rPr>
        <w:t>The permit issued pursuant to this article; and</w:t>
      </w:r>
    </w:p>
    <w:p w14:paraId="068D9A7B" w14:textId="202CEB09" w:rsidR="00F4603F" w:rsidRPr="00D27C44" w:rsidRDefault="00AF12D7" w:rsidP="00183E50">
      <w:pPr>
        <w:pStyle w:val="list1"/>
        <w:spacing w:after="240"/>
        <w:ind w:left="1440" w:hanging="720"/>
        <w:rPr>
          <w:sz w:val="24"/>
          <w:szCs w:val="24"/>
        </w:rPr>
      </w:pPr>
      <w:r w:rsidRPr="00D27C44">
        <w:rPr>
          <w:sz w:val="24"/>
          <w:szCs w:val="24"/>
        </w:rPr>
        <w:t>(2)</w:t>
      </w:r>
      <w:r w:rsidR="00183E50" w:rsidRPr="00D27C44">
        <w:rPr>
          <w:sz w:val="24"/>
          <w:szCs w:val="24"/>
        </w:rPr>
        <w:tab/>
      </w:r>
      <w:r w:rsidRPr="00D27C44">
        <w:rPr>
          <w:sz w:val="24"/>
          <w:szCs w:val="24"/>
        </w:rPr>
        <w:t>The certificate of occupancy issued by the city for the facility.</w:t>
      </w:r>
    </w:p>
    <w:p w14:paraId="2C92E072" w14:textId="50A55CBC" w:rsidR="00F4603F" w:rsidRDefault="00AF12D7" w:rsidP="00183E50">
      <w:pPr>
        <w:pStyle w:val="list0"/>
        <w:spacing w:after="240"/>
        <w:ind w:left="720" w:hanging="720"/>
        <w:rPr>
          <w:sz w:val="24"/>
          <w:szCs w:val="24"/>
        </w:rPr>
      </w:pPr>
      <w:r w:rsidRPr="00D27C44">
        <w:rPr>
          <w:sz w:val="24"/>
          <w:szCs w:val="24"/>
        </w:rPr>
        <w:t>(</w:t>
      </w:r>
      <w:proofErr w:type="spellStart"/>
      <w:r w:rsidR="00183E50" w:rsidRPr="00D27C44">
        <w:rPr>
          <w:strike/>
          <w:sz w:val="24"/>
          <w:szCs w:val="24"/>
        </w:rPr>
        <w:t>b</w:t>
      </w:r>
      <w:r w:rsidR="00C867CC" w:rsidRPr="00D27C44">
        <w:rPr>
          <w:sz w:val="24"/>
          <w:szCs w:val="24"/>
          <w:u w:val="single"/>
        </w:rPr>
        <w:t>c</w:t>
      </w:r>
      <w:proofErr w:type="spellEnd"/>
      <w:r w:rsidRPr="00D27C44">
        <w:rPr>
          <w:sz w:val="24"/>
          <w:szCs w:val="24"/>
        </w:rPr>
        <w:t>)</w:t>
      </w:r>
      <w:r w:rsidR="00183E50" w:rsidRPr="00D27C44">
        <w:rPr>
          <w:sz w:val="24"/>
          <w:szCs w:val="24"/>
        </w:rPr>
        <w:tab/>
      </w:r>
      <w:r w:rsidRPr="00D27C44">
        <w:rPr>
          <w:i/>
          <w:iCs/>
          <w:sz w:val="24"/>
          <w:szCs w:val="24"/>
        </w:rPr>
        <w:t>Framed beds.</w:t>
      </w:r>
      <w:r w:rsidRPr="00D27C44">
        <w:rPr>
          <w:sz w:val="24"/>
          <w:szCs w:val="24"/>
        </w:rPr>
        <w:t xml:space="preserve"> The owner or operator of a facility shall</w:t>
      </w:r>
      <w:r w:rsidR="00EB32C0" w:rsidRPr="00D27C44">
        <w:rPr>
          <w:sz w:val="24"/>
          <w:szCs w:val="24"/>
          <w:u w:val="single"/>
        </w:rPr>
        <w:t xml:space="preserve">, if </w:t>
      </w:r>
      <w:r w:rsidR="005C0FBD" w:rsidRPr="00D27C44">
        <w:rPr>
          <w:sz w:val="24"/>
          <w:szCs w:val="24"/>
          <w:u w:val="single"/>
        </w:rPr>
        <w:t>providing a bed</w:t>
      </w:r>
      <w:r w:rsidR="00EB32C0" w:rsidRPr="00D27C44">
        <w:rPr>
          <w:sz w:val="24"/>
          <w:szCs w:val="24"/>
          <w:u w:val="single"/>
        </w:rPr>
        <w:t>,</w:t>
      </w:r>
      <w:r w:rsidRPr="00D27C44">
        <w:rPr>
          <w:sz w:val="24"/>
          <w:szCs w:val="24"/>
        </w:rPr>
        <w:t xml:space="preserve"> provide a separate framed bed at least six feet long and three feet wide equipped</w:t>
      </w:r>
      <w:r w:rsidRPr="00F4603F">
        <w:rPr>
          <w:sz w:val="24"/>
          <w:szCs w:val="24"/>
        </w:rPr>
        <w:t xml:space="preserve"> with supportive springs and a clean supportive mattress 24 hours a</w:t>
      </w:r>
      <w:r w:rsidR="0079391E" w:rsidRPr="00F4603F">
        <w:rPr>
          <w:sz w:val="24"/>
          <w:szCs w:val="24"/>
        </w:rPr>
        <w:t xml:space="preserve"> day</w:t>
      </w:r>
      <w:r w:rsidRPr="00F4603F">
        <w:rPr>
          <w:sz w:val="24"/>
          <w:szCs w:val="24"/>
        </w:rPr>
        <w:t>.</w:t>
      </w:r>
    </w:p>
    <w:p w14:paraId="7E5A6C92" w14:textId="016C234D" w:rsidR="00F4603F" w:rsidRPr="00E76F37" w:rsidRDefault="00F4603F" w:rsidP="00F4603F">
      <w:pPr>
        <w:spacing w:after="240" w:line="240" w:lineRule="auto"/>
        <w:jc w:val="both"/>
      </w:pPr>
      <w:r w:rsidRPr="00E76F37">
        <w:t>* * *</w:t>
      </w:r>
    </w:p>
    <w:p w14:paraId="2B4642E7" w14:textId="77777777" w:rsidR="00AF12D7" w:rsidRPr="00F4603F" w:rsidRDefault="00AF12D7" w:rsidP="00F4603F">
      <w:pPr>
        <w:pStyle w:val="list0"/>
        <w:spacing w:after="240"/>
        <w:rPr>
          <w:sz w:val="24"/>
          <w:szCs w:val="24"/>
        </w:rPr>
      </w:pPr>
    </w:p>
    <w:sectPr w:rsidR="00AF12D7" w:rsidRPr="00F4603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BC00" w16cex:dateUtc="2020-03-02T23:08:00Z"/>
  <w16cex:commentExtensible w16cex:durableId="2207BD7C" w16cex:dateUtc="2020-03-02T23:14:00Z"/>
  <w16cex:commentExtensible w16cex:durableId="222DCC44" w16cex:dateUtc="2020-03-31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15DE" w14:textId="77777777" w:rsidR="00183E50" w:rsidRDefault="00183E50" w:rsidP="00183E50">
      <w:pPr>
        <w:spacing w:after="0" w:line="240" w:lineRule="auto"/>
      </w:pPr>
      <w:r>
        <w:separator/>
      </w:r>
    </w:p>
  </w:endnote>
  <w:endnote w:type="continuationSeparator" w:id="0">
    <w:p w14:paraId="5A181332" w14:textId="77777777" w:rsidR="00183E50" w:rsidRDefault="00183E50" w:rsidP="001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4355" w14:textId="77777777" w:rsidR="00A41774" w:rsidRPr="00A41774" w:rsidRDefault="00A41774" w:rsidP="00A41774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Arial"/>
        <w:b/>
        <w:szCs w:val="24"/>
      </w:rPr>
    </w:pPr>
    <w:r w:rsidRPr="00A41774">
      <w:rPr>
        <w:rFonts w:eastAsia="Times New Roman" w:cs="Arial"/>
        <w:b/>
        <w:szCs w:val="24"/>
      </w:rPr>
      <w:t>DRAFT NOT YET APPROVED</w:t>
    </w:r>
  </w:p>
  <w:p w14:paraId="17D4C94E" w14:textId="77777777" w:rsidR="00A41774" w:rsidRPr="00A41774" w:rsidRDefault="00A41774" w:rsidP="00A41774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Arial"/>
        <w:b/>
        <w:szCs w:val="24"/>
      </w:rPr>
    </w:pPr>
    <w:r w:rsidRPr="00A41774">
      <w:rPr>
        <w:rFonts w:eastAsia="Times New Roman" w:cs="Arial"/>
        <w:b/>
        <w:szCs w:val="24"/>
      </w:rPr>
      <w:t>BY THE CITY ATTORNEY</w:t>
    </w:r>
  </w:p>
  <w:p w14:paraId="69A8EBA7" w14:textId="77777777" w:rsidR="00A41774" w:rsidRDefault="00A41774" w:rsidP="00183E50">
    <w:pPr>
      <w:pStyle w:val="Footer"/>
      <w:jc w:val="center"/>
    </w:pPr>
  </w:p>
  <w:p w14:paraId="4C36D5A6" w14:textId="08C4316E" w:rsidR="00183E50" w:rsidRDefault="00183E50" w:rsidP="00183E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CEDE1" w14:textId="77777777" w:rsidR="00183E50" w:rsidRDefault="00183E50" w:rsidP="00183E50">
      <w:pPr>
        <w:spacing w:after="0" w:line="240" w:lineRule="auto"/>
      </w:pPr>
      <w:r>
        <w:separator/>
      </w:r>
    </w:p>
  </w:footnote>
  <w:footnote w:type="continuationSeparator" w:id="0">
    <w:p w14:paraId="1700B16F" w14:textId="77777777" w:rsidR="00183E50" w:rsidRDefault="00183E50" w:rsidP="001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701E" w14:textId="1C86AB23" w:rsidR="00183E50" w:rsidRPr="00183E50" w:rsidRDefault="00183E50">
    <w:pPr>
      <w:pStyle w:val="Header"/>
      <w:rPr>
        <w:sz w:val="18"/>
        <w:szCs w:val="16"/>
      </w:rPr>
    </w:pPr>
    <w:r w:rsidRPr="00183E50">
      <w:rPr>
        <w:sz w:val="18"/>
        <w:szCs w:val="16"/>
      </w:rPr>
      <w:t>AH Fac REDLINE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228F"/>
    <w:multiLevelType w:val="hybridMultilevel"/>
    <w:tmpl w:val="6764F20C"/>
    <w:lvl w:ilvl="0" w:tplc="D03048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7"/>
    <w:rsid w:val="00065693"/>
    <w:rsid w:val="000C183C"/>
    <w:rsid w:val="00183E50"/>
    <w:rsid w:val="002C67D6"/>
    <w:rsid w:val="0033221E"/>
    <w:rsid w:val="004A1434"/>
    <w:rsid w:val="005416F1"/>
    <w:rsid w:val="00591FDD"/>
    <w:rsid w:val="005C0FBD"/>
    <w:rsid w:val="005D46A0"/>
    <w:rsid w:val="006210E3"/>
    <w:rsid w:val="00662295"/>
    <w:rsid w:val="006B7AF8"/>
    <w:rsid w:val="006C2304"/>
    <w:rsid w:val="006F2C98"/>
    <w:rsid w:val="0079391E"/>
    <w:rsid w:val="008C4BBE"/>
    <w:rsid w:val="00A41774"/>
    <w:rsid w:val="00A418C8"/>
    <w:rsid w:val="00AE0BA8"/>
    <w:rsid w:val="00AF12D7"/>
    <w:rsid w:val="00B17062"/>
    <w:rsid w:val="00BE5B12"/>
    <w:rsid w:val="00C867CC"/>
    <w:rsid w:val="00CF528B"/>
    <w:rsid w:val="00D27C44"/>
    <w:rsid w:val="00EB32C0"/>
    <w:rsid w:val="00F24CDE"/>
    <w:rsid w:val="00F36730"/>
    <w:rsid w:val="00F4603F"/>
    <w:rsid w:val="00FD5C94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219D"/>
  <w15:chartTrackingRefBased/>
  <w15:docId w15:val="{EDB8BD90-73C2-49EE-99DF-A454834C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12D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2D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12D7"/>
    <w:rPr>
      <w:rFonts w:ascii="Arial" w:eastAsiaTheme="majorEastAsia" w:hAnsi="Arial" w:cstheme="majorBidi"/>
      <w:b/>
      <w:bCs/>
    </w:rPr>
  </w:style>
  <w:style w:type="paragraph" w:customStyle="1" w:styleId="list0">
    <w:name w:val="list0"/>
    <w:basedOn w:val="Normal"/>
    <w:qFormat/>
    <w:rsid w:val="00AF12D7"/>
    <w:pPr>
      <w:spacing w:after="120" w:line="240" w:lineRule="auto"/>
      <w:ind w:left="432" w:hanging="432"/>
      <w:jc w:val="both"/>
    </w:pPr>
    <w:rPr>
      <w:rFonts w:cs="Arial"/>
      <w:sz w:val="20"/>
      <w:szCs w:val="20"/>
    </w:rPr>
  </w:style>
  <w:style w:type="paragraph" w:customStyle="1" w:styleId="list1">
    <w:name w:val="list1"/>
    <w:basedOn w:val="list0"/>
    <w:qFormat/>
    <w:rsid w:val="00AF12D7"/>
    <w:pPr>
      <w:ind w:left="864"/>
    </w:pPr>
  </w:style>
  <w:style w:type="paragraph" w:customStyle="1" w:styleId="list2">
    <w:name w:val="list2"/>
    <w:basedOn w:val="list1"/>
    <w:qFormat/>
    <w:rsid w:val="00AF12D7"/>
    <w:pPr>
      <w:ind w:left="1296"/>
    </w:pPr>
  </w:style>
  <w:style w:type="paragraph" w:customStyle="1" w:styleId="p0">
    <w:name w:val="p0"/>
    <w:basedOn w:val="Normal"/>
    <w:qFormat/>
    <w:rsid w:val="00AF12D7"/>
    <w:pPr>
      <w:spacing w:after="120" w:line="240" w:lineRule="auto"/>
      <w:ind w:firstLine="432"/>
    </w:pPr>
    <w:rPr>
      <w:sz w:val="20"/>
    </w:rPr>
  </w:style>
  <w:style w:type="paragraph" w:customStyle="1" w:styleId="p1">
    <w:name w:val="p1"/>
    <w:basedOn w:val="p0"/>
    <w:qFormat/>
    <w:rsid w:val="00AF12D7"/>
    <w:pPr>
      <w:ind w:left="432"/>
    </w:pPr>
  </w:style>
  <w:style w:type="paragraph" w:customStyle="1" w:styleId="seclink">
    <w:name w:val="seclink"/>
    <w:basedOn w:val="Normal"/>
    <w:qFormat/>
    <w:rsid w:val="00AF12D7"/>
    <w:pPr>
      <w:spacing w:after="120" w:line="240" w:lineRule="auto"/>
    </w:pPr>
    <w:rPr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sid w:val="00AF12D7"/>
    <w:rPr>
      <w:rFonts w:ascii="Arial" w:hAnsi="Arial"/>
      <w:color w:val="0563C1" w:themeColor="hyperlink"/>
      <w:sz w:val="20"/>
      <w:u w:val="single"/>
    </w:rPr>
  </w:style>
  <w:style w:type="paragraph" w:customStyle="1" w:styleId="sec">
    <w:name w:val="sec"/>
    <w:basedOn w:val="Normal"/>
    <w:qFormat/>
    <w:rsid w:val="00AF12D7"/>
    <w:pPr>
      <w:keepNext/>
      <w:spacing w:before="360"/>
    </w:pPr>
    <w:rPr>
      <w:b/>
      <w:color w:val="404040" w:themeColor="text1" w:themeTint="BF"/>
    </w:rPr>
  </w:style>
  <w:style w:type="paragraph" w:customStyle="1" w:styleId="listml0">
    <w:name w:val="listml0"/>
    <w:basedOn w:val="list0"/>
    <w:qFormat/>
    <w:rsid w:val="00AF12D7"/>
    <w:pPr>
      <w:tabs>
        <w:tab w:val="left" w:pos="432"/>
        <w:tab w:val="left" w:pos="864"/>
      </w:tabs>
      <w:ind w:left="864" w:hanging="864"/>
    </w:pPr>
  </w:style>
  <w:style w:type="paragraph" w:customStyle="1" w:styleId="refcrossfn">
    <w:name w:val="refcrossfn"/>
    <w:basedOn w:val="Normal"/>
    <w:qFormat/>
    <w:rsid w:val="00AF12D7"/>
    <w:pPr>
      <w:tabs>
        <w:tab w:val="right" w:pos="9180"/>
      </w:tabs>
      <w:spacing w:after="120" w:line="240" w:lineRule="auto"/>
    </w:pPr>
    <w:rPr>
      <w:color w:val="7F7F7F" w:themeColor="text1" w:themeTint="80"/>
      <w:sz w:val="20"/>
    </w:rPr>
  </w:style>
  <w:style w:type="paragraph" w:customStyle="1" w:styleId="fnmarkfn">
    <w:name w:val="fnmarkfn"/>
    <w:basedOn w:val="Normal"/>
    <w:rsid w:val="00AF12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ja-JP"/>
    </w:rPr>
  </w:style>
  <w:style w:type="paragraph" w:customStyle="1" w:styleId="historynote0">
    <w:name w:val="historynote0"/>
    <w:basedOn w:val="Normal"/>
    <w:rsid w:val="00AF12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3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E50"/>
  </w:style>
  <w:style w:type="paragraph" w:styleId="Footer">
    <w:name w:val="footer"/>
    <w:basedOn w:val="Normal"/>
    <w:link w:val="FooterChar"/>
    <w:uiPriority w:val="99"/>
    <w:unhideWhenUsed/>
    <w:rsid w:val="0018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d03128353af0a8147f775b7b6996779f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aba5e217f66e9cf1c5624a2130d11f50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927A6-148B-4E6E-964A-46AC22C1D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2CC00-ACBB-4DFC-B826-8CC36C4BF5F0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cca1bdb-2158-4fe3-bc61-09099838b974"/>
    <ds:schemaRef ds:uri="a0bac8b6-cc5b-4e54-a5bc-1e67476aa7bf"/>
  </ds:schemaRefs>
</ds:datastoreItem>
</file>

<file path=customXml/itemProps3.xml><?xml version="1.0" encoding="utf-8"?>
<ds:datastoreItem xmlns:ds="http://schemas.openxmlformats.org/officeDocument/2006/customXml" ds:itemID="{773FC0BE-A02C-4771-9F73-D2CABE0FD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Jeffrey - LGL</dc:creator>
  <cp:keywords/>
  <dc:description/>
  <cp:lastModifiedBy>Giles, Jeffrey - LGL</cp:lastModifiedBy>
  <cp:revision>3</cp:revision>
  <dcterms:created xsi:type="dcterms:W3CDTF">2020-05-01T00:39:00Z</dcterms:created>
  <dcterms:modified xsi:type="dcterms:W3CDTF">2020-05-01T01:49:00Z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