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7E2C" w14:textId="77777777" w:rsidR="0009362D" w:rsidRDefault="0009362D" w:rsidP="00B27F2F"/>
    <w:p w14:paraId="7A6A3007" w14:textId="77777777" w:rsidR="001D1AA7" w:rsidRDefault="001D1AA7" w:rsidP="001D1AA7">
      <w:pPr>
        <w:spacing w:after="200" w:line="276" w:lineRule="auto"/>
        <w:ind w:left="720"/>
        <w:contextualSpacing/>
        <w:rPr>
          <w:rFonts w:eastAsia="Calibri" w:cs="Arial"/>
          <w:color w:val="auto"/>
        </w:rPr>
      </w:pPr>
    </w:p>
    <w:p w14:paraId="56C178C6" w14:textId="3B140D65" w:rsidR="001D1AA7" w:rsidRPr="00C93724" w:rsidRDefault="001D1AA7" w:rsidP="001D1AA7">
      <w:pPr>
        <w:numPr>
          <w:ilvl w:val="0"/>
          <w:numId w:val="1"/>
        </w:numPr>
        <w:spacing w:after="200" w:line="276" w:lineRule="auto"/>
        <w:contextualSpacing/>
        <w:rPr>
          <w:rFonts w:eastAsia="Calibri" w:cs="Arial"/>
          <w:color w:val="auto"/>
        </w:rPr>
      </w:pPr>
      <w:r w:rsidRPr="00C93724">
        <w:rPr>
          <w:rFonts w:eastAsia="Calibri" w:cs="Arial"/>
          <w:color w:val="auto"/>
        </w:rPr>
        <w:t xml:space="preserve">ALL SEWERS SHALL BE SUBJECT TO A STANDARD EXFILTRATION TEST. TESTS ARE TO BE PERFORMED ON THE TOTAL FOOTAGE OF SEWER LINE INCLUDED IN THE PROJECT. REQUIREMENTS OF TEXAS ADMINISTRATIVE CODE, TITLE 30 </w:t>
      </w:r>
      <w:r w:rsidRPr="00CA2954">
        <w:rPr>
          <w:rFonts w:eastAsia="Calibri" w:cs="Arial"/>
          <w:color w:val="auto"/>
        </w:rPr>
        <w:t xml:space="preserve">CHAPTER </w:t>
      </w:r>
      <w:r w:rsidR="009F5AA2" w:rsidRPr="00CA2954">
        <w:rPr>
          <w:rFonts w:eastAsia="Calibri" w:cs="Arial"/>
          <w:color w:val="auto"/>
        </w:rPr>
        <w:t>217</w:t>
      </w:r>
      <w:r w:rsidRPr="00CA2954">
        <w:rPr>
          <w:rFonts w:eastAsia="Calibri" w:cs="Arial"/>
          <w:color w:val="auto"/>
        </w:rPr>
        <w:t xml:space="preserve">, “DESIGN CRITERIA FOR </w:t>
      </w:r>
      <w:r w:rsidR="009F5AA2" w:rsidRPr="00CA2954">
        <w:rPr>
          <w:rFonts w:eastAsia="Calibri" w:cs="Arial"/>
          <w:color w:val="auto"/>
        </w:rPr>
        <w:t xml:space="preserve">DOMESTIC WASTEWATER </w:t>
      </w:r>
      <w:r w:rsidR="008D1E41" w:rsidRPr="00CA2954">
        <w:rPr>
          <w:rFonts w:eastAsia="Calibri" w:cs="Arial"/>
          <w:color w:val="auto"/>
        </w:rPr>
        <w:t>SYSTEMS</w:t>
      </w:r>
      <w:r w:rsidRPr="00CA2954">
        <w:rPr>
          <w:rFonts w:eastAsia="Calibri" w:cs="Arial"/>
          <w:color w:val="auto"/>
        </w:rPr>
        <w:t>”</w:t>
      </w:r>
      <w:r w:rsidRPr="00C93724">
        <w:rPr>
          <w:rFonts w:eastAsia="Calibri" w:cs="Arial"/>
          <w:color w:val="auto"/>
        </w:rPr>
        <w:t xml:space="preserve"> SHALL GOVERN WHERE CONFLICTS EXIST EXCEPT WHERE CITY REQUIREMENTS ARE MORE STRINGENT.</w:t>
      </w:r>
    </w:p>
    <w:p w14:paraId="57432410" w14:textId="77777777" w:rsidR="001D1AA7" w:rsidRPr="001D1AA7" w:rsidRDefault="001D1AA7" w:rsidP="001D1AA7">
      <w:pPr>
        <w:spacing w:after="200" w:line="276" w:lineRule="auto"/>
        <w:ind w:left="720"/>
        <w:contextualSpacing/>
        <w:rPr>
          <w:rFonts w:eastAsia="Calibri" w:cs="Arial"/>
          <w:color w:val="auto"/>
        </w:rPr>
      </w:pPr>
    </w:p>
    <w:p w14:paraId="45CB5560" w14:textId="7FB76C51"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 xml:space="preserve">ALL MANHOLES ARE TO BE PER CITY OF HOUSTON STANDARD DETAILS DRAWING NUMBERS 02082-01, 02082-02, 02082N-02, 02082-03, AND 02082N-03 UNLESS OTHERWISE NOTED. USE </w:t>
      </w:r>
      <w:r w:rsidR="0070096C">
        <w:rPr>
          <w:rFonts w:eastAsia="Calibri" w:cs="Arial"/>
          <w:color w:val="auto"/>
        </w:rPr>
        <w:t>THE LATEST</w:t>
      </w:r>
      <w:r w:rsidRPr="001D1AA7">
        <w:rPr>
          <w:rFonts w:eastAsia="Calibri" w:cs="Arial"/>
          <w:color w:val="auto"/>
        </w:rPr>
        <w:t xml:space="preserve"> VERSION AS APPLICABLE.</w:t>
      </w:r>
    </w:p>
    <w:p w14:paraId="24971C5E" w14:textId="77777777" w:rsidR="001D1AA7" w:rsidRPr="001D1AA7" w:rsidRDefault="001D1AA7" w:rsidP="001D1AA7">
      <w:pPr>
        <w:spacing w:after="200" w:line="276" w:lineRule="auto"/>
        <w:ind w:left="720"/>
        <w:contextualSpacing/>
        <w:rPr>
          <w:rFonts w:eastAsia="Calibri" w:cs="Arial"/>
          <w:color w:val="auto"/>
        </w:rPr>
      </w:pPr>
    </w:p>
    <w:p w14:paraId="5428097B"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SANITARY SEWER MANHOLES WILL HAVE BEDDING AND BACKFILL PER CITY OF HOUSTON STANDARD DETAILS DRAWING NO. 02317-08 UNLESS OTHERWISE NOTED.</w:t>
      </w:r>
    </w:p>
    <w:p w14:paraId="1F008A87" w14:textId="77777777" w:rsidR="001D1AA7" w:rsidRPr="001D1AA7" w:rsidRDefault="001D1AA7" w:rsidP="001D1AA7">
      <w:pPr>
        <w:spacing w:after="200" w:line="276" w:lineRule="auto"/>
        <w:ind w:left="720"/>
        <w:contextualSpacing/>
        <w:rPr>
          <w:rFonts w:eastAsia="Calibri" w:cs="Arial"/>
          <w:color w:val="auto"/>
        </w:rPr>
      </w:pPr>
    </w:p>
    <w:p w14:paraId="72CF2486"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THE SANITARY SEWER PVC PIPE SHALL BE ASTM D 3034 TYPE PSM SDR 26 GRAVITY SEWER PIPE, ASTM D2241 SDR 26 PRESSURE RATED SEWER PIPE OR AWWA C-900 DR-18 GREEN PVC PRESSURE RATED SEWER PIPE BASED ON CONSTRUCTION CONDITION REQUIREMENT AND CONFORMING TO ASTM D1784 AND CITY OF HOUSTON STANDARD SPECIFICATION SECTION 02506 POLYVINYL CHLORIDE PIPE.</w:t>
      </w:r>
    </w:p>
    <w:p w14:paraId="0FB90D76" w14:textId="77777777" w:rsidR="001D1AA7" w:rsidRPr="001D1AA7" w:rsidRDefault="001D1AA7" w:rsidP="001D1AA7">
      <w:pPr>
        <w:spacing w:after="200" w:line="276" w:lineRule="auto"/>
        <w:ind w:left="720"/>
        <w:contextualSpacing/>
        <w:rPr>
          <w:rFonts w:eastAsia="Calibri" w:cs="Arial"/>
          <w:color w:val="auto"/>
        </w:rPr>
      </w:pPr>
    </w:p>
    <w:p w14:paraId="4946272E"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WHEN SS PRESSURE RATED PVC PIPE IS USED ON WATERLINE (WL) CROSSING UNDER CONDITION 1 OF COH IDM TABLE 7.3, THE SAME TYPE OF D2241 SDR 26 PVC PIPE OR C-900 GREEN DR-18 PVC GREEN PRESSURED TO BE UTILIZING IN-BETWEEN TWO SS MH’S. OR TO UTILIZE A DI TRANSITION ADAPTER FOR THE CONNECTING OF ASTM D-3034 PVC GRAVITY PIPE TO DI-OD AWWA C-900 PVC PIPE CENTERED AT WL WHEN CONNECTING TWO DIFFERENT TYPES OF PVC PIPES FOR SEWER CONSTRUCTION.</w:t>
      </w:r>
    </w:p>
    <w:p w14:paraId="2359FC36" w14:textId="77777777" w:rsidR="001D1AA7" w:rsidRPr="001D1AA7" w:rsidRDefault="001D1AA7" w:rsidP="001D1AA7">
      <w:pPr>
        <w:spacing w:after="200" w:line="276" w:lineRule="auto"/>
        <w:ind w:left="720"/>
        <w:contextualSpacing/>
        <w:rPr>
          <w:rFonts w:eastAsia="Calibri" w:cs="Arial"/>
          <w:color w:val="auto"/>
        </w:rPr>
      </w:pPr>
    </w:p>
    <w:p w14:paraId="4E2D57B1"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AWWA C-900 DR-18 PVC PIPE USES EITHER AWWA C900 DR-18 PVC FITTINGS OR DIP FITTINGS.</w:t>
      </w:r>
    </w:p>
    <w:p w14:paraId="3C8A045B" w14:textId="77777777" w:rsidR="001D1AA7" w:rsidRPr="001D1AA7" w:rsidRDefault="001D1AA7" w:rsidP="001D1AA7">
      <w:pPr>
        <w:spacing w:after="200" w:line="276" w:lineRule="auto"/>
        <w:ind w:left="720"/>
        <w:contextualSpacing/>
        <w:rPr>
          <w:rFonts w:eastAsia="Calibri" w:cs="Arial"/>
          <w:color w:val="auto"/>
        </w:rPr>
      </w:pPr>
    </w:p>
    <w:p w14:paraId="16CD4D7A" w14:textId="68BF308B" w:rsidR="001D1AA7" w:rsidRDefault="001D1AA7" w:rsidP="00CA2954">
      <w:pPr>
        <w:numPr>
          <w:ilvl w:val="0"/>
          <w:numId w:val="1"/>
        </w:numPr>
        <w:spacing w:after="200" w:line="276" w:lineRule="auto"/>
        <w:contextualSpacing/>
        <w:rPr>
          <w:rFonts w:eastAsia="Calibri" w:cs="Arial"/>
          <w:color w:val="auto"/>
        </w:rPr>
      </w:pPr>
      <w:r w:rsidRPr="001D1AA7">
        <w:rPr>
          <w:rFonts w:eastAsia="Calibri" w:cs="Arial"/>
          <w:color w:val="auto"/>
        </w:rPr>
        <w:t>ALL SANITARY SEWER LINES UNDER PROPOSED OR FUTURE PAVEMENT AND TO A POINT ONE (1) FOOT BACK OF ALL PROPOSED OR FUTURE CURBS SHALL HAVE BEDDING PER CITY OF HOUSTON STANDARD DETAILS DRAWING NUMBERS 02317-01, 02317-02, OR 02317-03 AS APPLICABLE, WITH 1 ½ SACK CEMENT/CY STABILIZED SAND BACKFILL UP TO THE BOTTOM OF THE PAVEMENT SUBGRADE. 100 PSI PERFORMANCE RESULTS ARE STILL REQUIRED.</w:t>
      </w:r>
    </w:p>
    <w:p w14:paraId="5D220AD3" w14:textId="77777777" w:rsidR="001D1AA7" w:rsidRPr="001D1AA7" w:rsidRDefault="001D1AA7" w:rsidP="001D1AA7">
      <w:pPr>
        <w:spacing w:after="200" w:line="276" w:lineRule="auto"/>
        <w:ind w:left="720"/>
        <w:contextualSpacing/>
        <w:rPr>
          <w:rFonts w:eastAsia="Calibri" w:cs="Arial"/>
          <w:color w:val="auto"/>
        </w:rPr>
      </w:pPr>
    </w:p>
    <w:p w14:paraId="7E0621C2" w14:textId="09B6289B"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 xml:space="preserve">ALL </w:t>
      </w:r>
      <w:r w:rsidR="0070096C">
        <w:rPr>
          <w:rFonts w:eastAsia="Calibri" w:cs="Arial"/>
          <w:color w:val="auto"/>
        </w:rPr>
        <w:t xml:space="preserve">NEW </w:t>
      </w:r>
      <w:r w:rsidRPr="001D1AA7">
        <w:rPr>
          <w:rFonts w:eastAsia="Calibri" w:cs="Arial"/>
          <w:color w:val="auto"/>
        </w:rPr>
        <w:t>SANITARY SEWERS CROSSING WATER LINES WITH A CLEARANCE BETWEEN 12 INCHES AND 9 FEET SHALL HAVE A MINIMUM OF ONE 18’ JOINT OF DUCTILE IRON OR (GREEN) C900 PVC PIPE MEETING ASTM SPECIFICATION D2241 CENTERED ON WATER LINE. WHEN WATER LINE IS BELOW SANITARY SEWER</w:t>
      </w:r>
      <w:r w:rsidR="00A351F8">
        <w:rPr>
          <w:rFonts w:eastAsia="Calibri" w:cs="Arial"/>
          <w:color w:val="auto"/>
        </w:rPr>
        <w:t>,</w:t>
      </w:r>
      <w:r w:rsidRPr="001D1AA7">
        <w:rPr>
          <w:rFonts w:eastAsia="Calibri" w:cs="Arial"/>
          <w:color w:val="auto"/>
        </w:rPr>
        <w:t xml:space="preserve"> PROVIDE MINIMUM 2 FOOT SEPARATION.</w:t>
      </w:r>
    </w:p>
    <w:p w14:paraId="4C49F8E6" w14:textId="77777777" w:rsidR="001D1AA7" w:rsidRDefault="001D1AA7" w:rsidP="001D1AA7">
      <w:pPr>
        <w:spacing w:after="200" w:line="276" w:lineRule="auto"/>
        <w:ind w:left="720"/>
        <w:contextualSpacing/>
        <w:rPr>
          <w:rFonts w:eastAsia="Calibri" w:cs="Arial"/>
          <w:color w:val="auto"/>
        </w:rPr>
      </w:pPr>
    </w:p>
    <w:p w14:paraId="104A859C" w14:textId="77777777" w:rsidR="00CF0C90" w:rsidRPr="00CF0C90" w:rsidRDefault="00CF0C90" w:rsidP="00CF0C90">
      <w:pPr>
        <w:rPr>
          <w:rFonts w:eastAsia="Calibri" w:cs="Arial"/>
        </w:rPr>
      </w:pPr>
    </w:p>
    <w:p w14:paraId="48533B2B" w14:textId="77777777" w:rsidR="00CF0C90" w:rsidRPr="00CF0C90" w:rsidRDefault="00CF0C90" w:rsidP="00CF0C90">
      <w:pPr>
        <w:rPr>
          <w:rFonts w:eastAsia="Calibri" w:cs="Arial"/>
        </w:rPr>
      </w:pPr>
    </w:p>
    <w:p w14:paraId="4CDE7F46"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CONTRACTOR SHALL PROVIDE A MINIMUM HORIZONTAL CLEARANCE OF 9’ FEET BETWEEN WATER LINES AND SANITARY SEWER MANHOLES AND LINES.</w:t>
      </w:r>
    </w:p>
    <w:p w14:paraId="0EC5739A" w14:textId="77777777" w:rsidR="001D1AA7" w:rsidRPr="001D1AA7" w:rsidRDefault="001D1AA7" w:rsidP="001D1AA7">
      <w:pPr>
        <w:spacing w:after="200" w:line="276" w:lineRule="auto"/>
        <w:ind w:left="720"/>
        <w:contextualSpacing/>
        <w:rPr>
          <w:rFonts w:eastAsia="Calibri" w:cs="Arial"/>
          <w:color w:val="auto"/>
        </w:rPr>
      </w:pPr>
    </w:p>
    <w:p w14:paraId="47F0A640"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SANITARY SEWER MANHOLE RIMS OUTSIDE OF PROPOSED PAVING WILL BE SET 3” - 6” ABOVE THE SURROUNDING LEVEL FINISHED GRADE AFTER PAVING WITH SLOPED BACKFILL ADDED FOR STORM WATER TO DRAIN AWAY FROM MANHOLE RIM.</w:t>
      </w:r>
    </w:p>
    <w:p w14:paraId="7626ADC7" w14:textId="77777777" w:rsidR="001D1AA7" w:rsidRPr="001D1AA7" w:rsidRDefault="001D1AA7" w:rsidP="001D1AA7">
      <w:pPr>
        <w:spacing w:after="200" w:line="276" w:lineRule="auto"/>
        <w:ind w:left="720"/>
        <w:contextualSpacing/>
        <w:rPr>
          <w:rFonts w:eastAsia="Calibri" w:cs="Arial"/>
          <w:color w:val="auto"/>
        </w:rPr>
      </w:pPr>
    </w:p>
    <w:p w14:paraId="44E5A4E7"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IN WET STABLE TRENCH AREAS USE BEDDING PER CITY OF HOUSTON STANDARD DETAILS DRAWING NUMBER 02317-02.</w:t>
      </w:r>
    </w:p>
    <w:p w14:paraId="38F40444" w14:textId="77777777" w:rsidR="001D1AA7" w:rsidRPr="001D1AA7" w:rsidRDefault="001D1AA7" w:rsidP="001D1AA7">
      <w:pPr>
        <w:spacing w:after="200" w:line="276" w:lineRule="auto"/>
        <w:ind w:left="720"/>
        <w:contextualSpacing/>
        <w:rPr>
          <w:rFonts w:eastAsia="Calibri" w:cs="Arial"/>
          <w:color w:val="auto"/>
        </w:rPr>
      </w:pPr>
    </w:p>
    <w:p w14:paraId="04547016"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 xml:space="preserve">DEFLECTION TEST: DEFLECTION TESTS SHALL BE PERFORMED ON ALL FLEXIBLE AND SEMI-RIGID SEWER PIPE. THE TEST SHALL BE CONDUCTED AFTER THE FINAL BACKFILL HAS BEEN IN PLACE AT LEAST 30 DAYS. NO PIPE SHALL EXCEED A DEFLECTION OF 5% IF THE DEFLECTION TEST IS TO BE RUN USING A RIGID MANDREL, IT SHALL HAVE A DIAMETER EQUAL TO 95% OF THE INSIDE DIAMETER OF THE PIPE. THE TEST SHALL BE PERFORMED AS PER 30 TAC </w:t>
      </w:r>
      <w:r w:rsidR="009F5AA2">
        <w:rPr>
          <w:rFonts w:eastAsia="Calibri" w:cs="Arial"/>
          <w:color w:val="auto"/>
        </w:rPr>
        <w:t>217.57</w:t>
      </w:r>
      <w:r w:rsidRPr="001D1AA7">
        <w:rPr>
          <w:rFonts w:eastAsia="Calibri" w:cs="Arial"/>
          <w:color w:val="auto"/>
        </w:rPr>
        <w:t xml:space="preserve"> LATEST AMENDMENT AND WITHOUT MECHANICAL PULLING DEVICES. NO BALL-TYPE MANDREL IS ALLOWED.</w:t>
      </w:r>
    </w:p>
    <w:p w14:paraId="365CA521" w14:textId="77777777" w:rsidR="001D1AA7" w:rsidRPr="001D1AA7" w:rsidRDefault="001D1AA7" w:rsidP="001D1AA7">
      <w:pPr>
        <w:spacing w:after="200" w:line="276" w:lineRule="auto"/>
        <w:ind w:left="720"/>
        <w:contextualSpacing/>
        <w:rPr>
          <w:rFonts w:eastAsia="Calibri" w:cs="Arial"/>
          <w:color w:val="auto"/>
        </w:rPr>
      </w:pPr>
    </w:p>
    <w:p w14:paraId="1B37B21D" w14:textId="34C6352B"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 xml:space="preserve">INFILTRATION, EXFILTRATION OR LOW-PRESSURE AIR TEST: EITHER OF THE FOLLOWING TESTS SHALL BE PERFORMED AS PER TAC, TITLE 30 </w:t>
      </w:r>
      <w:r w:rsidR="009F5AA2">
        <w:rPr>
          <w:rFonts w:eastAsia="Calibri" w:cs="Arial"/>
          <w:color w:val="auto"/>
        </w:rPr>
        <w:t>217.57</w:t>
      </w:r>
      <w:r w:rsidRPr="001D1AA7">
        <w:rPr>
          <w:rFonts w:eastAsia="Calibri" w:cs="Arial"/>
          <w:color w:val="auto"/>
        </w:rPr>
        <w:t xml:space="preserve"> WITHIN THE SPECIFIED TOLERANCES ON ALL GRAVITY SEWERS.</w:t>
      </w:r>
    </w:p>
    <w:p w14:paraId="42B8D52E" w14:textId="77777777" w:rsidR="001D1AA7" w:rsidRPr="001D1AA7" w:rsidRDefault="001D1AA7" w:rsidP="001D1AA7">
      <w:pPr>
        <w:spacing w:after="200" w:line="276" w:lineRule="auto"/>
        <w:ind w:left="720"/>
        <w:contextualSpacing/>
        <w:rPr>
          <w:rFonts w:eastAsia="Calibri" w:cs="Arial"/>
          <w:color w:val="auto"/>
        </w:rPr>
      </w:pPr>
    </w:p>
    <w:p w14:paraId="47D72CF6" w14:textId="77777777" w:rsidR="001D1AA7" w:rsidRPr="001D1AA7" w:rsidRDefault="001D1AA7" w:rsidP="001D1AA7">
      <w:pPr>
        <w:numPr>
          <w:ilvl w:val="0"/>
          <w:numId w:val="2"/>
        </w:numPr>
        <w:spacing w:after="200" w:line="276" w:lineRule="auto"/>
        <w:contextualSpacing/>
        <w:rPr>
          <w:rFonts w:eastAsia="Calibri" w:cs="Arial"/>
          <w:color w:val="auto"/>
        </w:rPr>
      </w:pPr>
      <w:r w:rsidRPr="001D1AA7">
        <w:rPr>
          <w:rFonts w:eastAsia="Calibri" w:cs="Arial"/>
          <w:color w:val="auto"/>
        </w:rPr>
        <w:t>INFILTRATION OR EXFILTRATION TEST: TOTAL LEAKAGE AS DETERMINED BY A HYDROSTATIC HEAD TEST SHALL NOT EXCEED 50 GALLONS PER INCH DIAMETER PER MILE OF PIPE PER 24 HOURS AT A MINIMUM TEST HEAD OF TWO (2) FEET.</w:t>
      </w:r>
    </w:p>
    <w:p w14:paraId="24E4BEBF" w14:textId="77777777" w:rsidR="001D1AA7" w:rsidRPr="001D1AA7" w:rsidRDefault="001D1AA7" w:rsidP="001D1AA7">
      <w:pPr>
        <w:spacing w:after="200" w:line="276" w:lineRule="auto"/>
        <w:ind w:left="1080"/>
        <w:contextualSpacing/>
        <w:rPr>
          <w:rFonts w:eastAsia="Calibri" w:cs="Arial"/>
          <w:color w:val="auto"/>
        </w:rPr>
      </w:pPr>
    </w:p>
    <w:p w14:paraId="76767602" w14:textId="77777777" w:rsidR="001D1AA7" w:rsidRPr="001D1AA7" w:rsidRDefault="001D1AA7" w:rsidP="001D1AA7">
      <w:pPr>
        <w:numPr>
          <w:ilvl w:val="0"/>
          <w:numId w:val="2"/>
        </w:numPr>
        <w:spacing w:after="200" w:line="276" w:lineRule="auto"/>
        <w:contextualSpacing/>
        <w:rPr>
          <w:rFonts w:eastAsia="Calibri" w:cs="Arial"/>
          <w:color w:val="auto"/>
        </w:rPr>
      </w:pPr>
      <w:r w:rsidRPr="001D1AA7">
        <w:rPr>
          <w:rFonts w:eastAsia="Calibri" w:cs="Arial"/>
          <w:color w:val="auto"/>
        </w:rPr>
        <w:t>LOW-PRESSURE AIR TEST: PERFORM TEST ACCORDING TO UNI-B-6-90 OR OTHER APPROPRIATE PROCEDURES. FOR SECTIONS OF PIPE LESS THAN 36” (INCH) AVERAGE INSIDE DIAMETER, THE MINIMUM ALLOWABLE TIME FOR PRESSURE DROP FROM 3.5 P.S.I.G. TO 2.5 P.S.I.G. SHALL BE AS FOLLOWS:</w:t>
      </w:r>
    </w:p>
    <w:p w14:paraId="399A15A6" w14:textId="77777777" w:rsidR="001D1AA7" w:rsidRPr="001D1AA7" w:rsidRDefault="001D1AA7" w:rsidP="001D1AA7">
      <w:pPr>
        <w:spacing w:after="200" w:line="276" w:lineRule="auto"/>
        <w:ind w:left="1080"/>
        <w:contextualSpacing/>
        <w:rPr>
          <w:rFonts w:eastAsia="Calibri" w:cs="Arial"/>
          <w:color w:val="auto"/>
        </w:rPr>
      </w:pPr>
    </w:p>
    <w:p w14:paraId="673D62EF"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6” 340 SECONDS OR 0.855(L) FOR TEST LENGTHS GREATER THAN 398’</w:t>
      </w:r>
    </w:p>
    <w:p w14:paraId="39095EAA"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8” 454 SECONDS OR 1.520(L) FOR TEST LENGTHS GREATER THAN 298’</w:t>
      </w:r>
    </w:p>
    <w:p w14:paraId="3781728E"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10” 567 SECONDS OR 2.374(L) FOR TEST LENGTHS GREATER THAN 239’</w:t>
      </w:r>
    </w:p>
    <w:p w14:paraId="7C148068" w14:textId="77777777" w:rsidR="0069600C" w:rsidRPr="001D1AA7" w:rsidRDefault="0069600C" w:rsidP="0069600C">
      <w:pPr>
        <w:spacing w:after="200" w:line="276" w:lineRule="auto"/>
        <w:ind w:left="1080"/>
        <w:contextualSpacing/>
        <w:rPr>
          <w:rFonts w:eastAsia="Calibri" w:cs="Arial"/>
          <w:color w:val="auto"/>
        </w:rPr>
      </w:pPr>
      <w:r w:rsidRPr="001D1AA7">
        <w:rPr>
          <w:rFonts w:eastAsia="Calibri" w:cs="Arial"/>
          <w:color w:val="auto"/>
        </w:rPr>
        <w:t>1</w:t>
      </w:r>
      <w:r>
        <w:rPr>
          <w:rFonts w:eastAsia="Calibri" w:cs="Arial"/>
          <w:color w:val="auto"/>
        </w:rPr>
        <w:t>2</w:t>
      </w:r>
      <w:r w:rsidRPr="001D1AA7">
        <w:rPr>
          <w:rFonts w:eastAsia="Calibri" w:cs="Arial"/>
          <w:color w:val="auto"/>
        </w:rPr>
        <w:t xml:space="preserve">” </w:t>
      </w:r>
      <w:r>
        <w:rPr>
          <w:rFonts w:eastAsia="Calibri" w:cs="Arial"/>
          <w:color w:val="auto"/>
        </w:rPr>
        <w:t>680</w:t>
      </w:r>
      <w:r w:rsidRPr="001D1AA7">
        <w:rPr>
          <w:rFonts w:eastAsia="Calibri" w:cs="Arial"/>
          <w:color w:val="auto"/>
        </w:rPr>
        <w:t xml:space="preserve"> SECONDS OR </w:t>
      </w:r>
      <w:r>
        <w:rPr>
          <w:rFonts w:eastAsia="Calibri" w:cs="Arial"/>
          <w:color w:val="auto"/>
        </w:rPr>
        <w:t>3.419</w:t>
      </w:r>
      <w:r w:rsidRPr="001D1AA7">
        <w:rPr>
          <w:rFonts w:eastAsia="Calibri" w:cs="Arial"/>
          <w:color w:val="auto"/>
        </w:rPr>
        <w:t>(L) FOR TEST LENGTHS GREATER THAN 1</w:t>
      </w:r>
      <w:r>
        <w:rPr>
          <w:rFonts w:eastAsia="Calibri" w:cs="Arial"/>
          <w:color w:val="auto"/>
        </w:rPr>
        <w:t>9</w:t>
      </w:r>
      <w:r w:rsidRPr="001D1AA7">
        <w:rPr>
          <w:rFonts w:eastAsia="Calibri" w:cs="Arial"/>
          <w:color w:val="auto"/>
        </w:rPr>
        <w:t>9’</w:t>
      </w:r>
    </w:p>
    <w:p w14:paraId="398F1948"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15” 850 SECONDS OR 5.342(L) FOR TEST LENGTHS GREATER THAN 159’</w:t>
      </w:r>
    </w:p>
    <w:p w14:paraId="41C9B09B"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18” 1020 SECONDS OR 7.693(L) FOR TEST LENGTHS GREATER THAN 133’</w:t>
      </w:r>
    </w:p>
    <w:p w14:paraId="346EF9F2" w14:textId="77777777" w:rsidR="001D1AA7" w:rsidRPr="001D1AA7" w:rsidRDefault="001D1AA7" w:rsidP="001D1AA7">
      <w:pPr>
        <w:spacing w:after="200" w:line="276" w:lineRule="auto"/>
        <w:ind w:left="1080"/>
        <w:contextualSpacing/>
        <w:rPr>
          <w:rFonts w:eastAsia="Calibri" w:cs="Arial"/>
          <w:color w:val="auto"/>
        </w:rPr>
      </w:pPr>
    </w:p>
    <w:p w14:paraId="2077966D" w14:textId="77777777" w:rsidR="001D1AA7" w:rsidRPr="001D1AA7" w:rsidRDefault="001D1AA7" w:rsidP="001D1AA7">
      <w:pPr>
        <w:spacing w:after="200" w:line="276" w:lineRule="auto"/>
        <w:ind w:left="1080"/>
        <w:contextualSpacing/>
        <w:rPr>
          <w:rFonts w:eastAsia="Calibri" w:cs="Arial"/>
          <w:color w:val="auto"/>
        </w:rPr>
      </w:pPr>
      <w:r w:rsidRPr="001D1AA7">
        <w:rPr>
          <w:rFonts w:eastAsia="Calibri" w:cs="Arial"/>
          <w:color w:val="auto"/>
        </w:rPr>
        <w:t>WHERE L = LENGTH OF LINE OF SAME PIPE SIZE IN FEET.</w:t>
      </w:r>
    </w:p>
    <w:p w14:paraId="26D2A173" w14:textId="77777777" w:rsidR="001D1AA7" w:rsidRPr="001D1AA7" w:rsidRDefault="001D1AA7" w:rsidP="001D1AA7">
      <w:pPr>
        <w:spacing w:after="200" w:line="276" w:lineRule="auto"/>
        <w:ind w:left="1080"/>
        <w:contextualSpacing/>
        <w:rPr>
          <w:rFonts w:eastAsia="Calibri" w:cs="Arial"/>
          <w:color w:val="auto"/>
        </w:rPr>
      </w:pPr>
    </w:p>
    <w:p w14:paraId="7988880C"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“SAN. S. E.” INDICATES “SANITARY SEWER EASEMENT”</w:t>
      </w:r>
    </w:p>
    <w:p w14:paraId="05D83B4F" w14:textId="79629476" w:rsidR="001D1AA7" w:rsidRDefault="001D1AA7" w:rsidP="001D1AA7">
      <w:pPr>
        <w:spacing w:after="200" w:line="276" w:lineRule="auto"/>
        <w:ind w:left="720"/>
        <w:contextualSpacing/>
        <w:rPr>
          <w:rFonts w:eastAsia="Calibri" w:cs="Arial"/>
          <w:color w:val="auto"/>
        </w:rPr>
      </w:pPr>
    </w:p>
    <w:p w14:paraId="55E66774" w14:textId="77777777" w:rsidR="000C5774" w:rsidRPr="001D1AA7" w:rsidRDefault="000C5774" w:rsidP="001D1AA7">
      <w:pPr>
        <w:spacing w:after="200" w:line="276" w:lineRule="auto"/>
        <w:ind w:left="720"/>
        <w:contextualSpacing/>
        <w:rPr>
          <w:rFonts w:eastAsia="Calibri" w:cs="Arial"/>
          <w:color w:val="auto"/>
        </w:rPr>
      </w:pPr>
    </w:p>
    <w:p w14:paraId="5367FE6B" w14:textId="77777777" w:rsidR="001D1AA7" w:rsidRPr="001D1AA7" w:rsidRDefault="001D1AA7" w:rsidP="001D1AA7">
      <w:pPr>
        <w:numPr>
          <w:ilvl w:val="0"/>
          <w:numId w:val="1"/>
        </w:numPr>
        <w:spacing w:after="200" w:line="276" w:lineRule="auto"/>
        <w:contextualSpacing/>
        <w:rPr>
          <w:rFonts w:eastAsia="Calibri" w:cs="Arial"/>
          <w:color w:val="auto"/>
        </w:rPr>
      </w:pPr>
      <w:r w:rsidRPr="001D1AA7">
        <w:rPr>
          <w:rFonts w:eastAsia="Calibri" w:cs="Arial"/>
          <w:color w:val="auto"/>
        </w:rPr>
        <w:t xml:space="preserve">FOR SANITARY MANHOLE (MH) RIMS SET INSIDE OF OR @ CURB &amp; GUTTER PAVEMENT AND/OR BELOW T.C., MH RIMS WILL BE SET FLUSHED WITH AN ABUTTING PAVED SURFACE. THE (VALCUN, NEENAH OR EQUAL) HEAVY DUTY BOLTED SOLID MH COVER SHALL BE PROPERLY (AND SECURELY) ATTACHED AND SEALED TO ITS COMPATIBLE GASKETED FRAME BY USING BOTH A NEOPRENE GASKET AND (AT LEAST) 4 COUNTER-SUNK HEX–HEAD COARSE THREADED ½”-13 UNC STAINLESS STEEL BOLTS. THE </w:t>
      </w:r>
      <w:proofErr w:type="gramStart"/>
      <w:r w:rsidRPr="001D1AA7">
        <w:rPr>
          <w:rFonts w:eastAsia="Calibri" w:cs="Arial"/>
          <w:color w:val="auto"/>
        </w:rPr>
        <w:t>HEAVY DUTY</w:t>
      </w:r>
      <w:proofErr w:type="gramEnd"/>
      <w:r w:rsidRPr="001D1AA7">
        <w:rPr>
          <w:rFonts w:eastAsia="Calibri" w:cs="Arial"/>
          <w:color w:val="auto"/>
        </w:rPr>
        <w:t xml:space="preserve"> FRAME MH COVER SHALL BE SOLID (NO AIR HOLES). SAID FRAME SHALL BE BOTH EMBEDDED INTO THE MH’S TOP ALSO SECURELY ANCHORED TO THE UNDERLYING MH STRUCTURE WITH EITHER SECURELY ATTACHED EMBEDDED ANCHOR BOLTS OR THE CONCRETE MH’S EXPOSED REBARS WELDED TO THE FRAME OR OTHER EQUALLY SECURED METHODS TO PREVENT MH COVER/FRAME BLOW-OFFS/EJECTIONS.</w:t>
      </w:r>
    </w:p>
    <w:p w14:paraId="57983BF7" w14:textId="77777777" w:rsidR="0009362D" w:rsidRPr="00932F28" w:rsidRDefault="0009362D" w:rsidP="001D1AA7"/>
    <w:sectPr w:rsidR="0009362D" w:rsidRPr="00932F28" w:rsidSect="001D1AA7">
      <w:headerReference w:type="default" r:id="rId7"/>
      <w:footerReference w:type="default" r:id="rId8"/>
      <w:headerReference w:type="first" r:id="rId9"/>
      <w:footerReference w:type="first" r:id="rId10"/>
      <w:pgSz w:w="12240" w:h="15840"/>
      <w:pgMar w:top="108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7810" w14:textId="77777777" w:rsidR="00F9260D" w:rsidRDefault="00F9260D" w:rsidP="00761786">
      <w:pPr>
        <w:spacing w:after="0" w:line="240" w:lineRule="auto"/>
      </w:pPr>
      <w:r>
        <w:separator/>
      </w:r>
    </w:p>
  </w:endnote>
  <w:endnote w:type="continuationSeparator" w:id="0">
    <w:p w14:paraId="26860E2F" w14:textId="77777777" w:rsidR="00F9260D" w:rsidRDefault="00F9260D" w:rsidP="0076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B88" w14:textId="4AC720DE" w:rsidR="00761786" w:rsidRDefault="003F096B" w:rsidP="00932F28">
    <w:pPr>
      <w:pStyle w:val="Footer"/>
      <w:tabs>
        <w:tab w:val="clear" w:pos="4680"/>
        <w:tab w:val="clear" w:pos="9360"/>
        <w:tab w:val="center" w:pos="5040"/>
        <w:tab w:val="right" w:pos="10620"/>
      </w:tabs>
      <w:rPr>
        <w:rFonts w:cs="Arial"/>
        <w:sz w:val="20"/>
      </w:rPr>
    </w:pPr>
    <w:sdt>
      <w:sdtPr>
        <w:id w:val="824325713"/>
        <w:docPartObj>
          <w:docPartGallery w:val="Page Numbers (Bottom of Page)"/>
          <w:docPartUnique/>
        </w:docPartObj>
      </w:sdtPr>
      <w:sdtEndPr>
        <w:rPr>
          <w:rFonts w:cs="Arial"/>
          <w:noProof/>
          <w:sz w:val="20"/>
        </w:rPr>
      </w:sdtEndPr>
      <w:sdtContent>
        <w:hyperlink r:id="rId1" w:history="1">
          <w:r w:rsidR="00C02CBA">
            <w:rPr>
              <w:rStyle w:val="Hyperlink"/>
              <w:rFonts w:cs="Arial"/>
              <w:color w:val="auto"/>
              <w:sz w:val="18"/>
              <w:szCs w:val="18"/>
              <w:u w:val="none"/>
            </w:rPr>
            <w:t>HoustonPermittingCenter.org</w:t>
          </w:r>
        </w:hyperlink>
        <w:r w:rsidR="00932F28" w:rsidRPr="00C02CBA">
          <w:rPr>
            <w:rFonts w:cs="Arial"/>
            <w:color w:val="262626" w:themeColor="text1" w:themeTint="D9"/>
            <w:sz w:val="20"/>
          </w:rPr>
          <w:t xml:space="preserve"> </w:t>
        </w:r>
        <w:r w:rsidR="00932F28">
          <w:rPr>
            <w:rFonts w:cs="Arial"/>
            <w:sz w:val="20"/>
          </w:rPr>
          <w:tab/>
        </w:r>
        <w:r w:rsidR="00932F28" w:rsidRPr="00932F28">
          <w:rPr>
            <w:rFonts w:cs="Arial"/>
            <w:sz w:val="20"/>
          </w:rPr>
          <w:fldChar w:fldCharType="begin"/>
        </w:r>
        <w:r w:rsidR="00932F28" w:rsidRPr="00932F28">
          <w:rPr>
            <w:rFonts w:cs="Arial"/>
            <w:sz w:val="20"/>
          </w:rPr>
          <w:instrText xml:space="preserve"> PAGE   \* MERGEFORMAT </w:instrText>
        </w:r>
        <w:r w:rsidR="00932F28" w:rsidRPr="00932F28">
          <w:rPr>
            <w:rFonts w:cs="Arial"/>
            <w:sz w:val="20"/>
          </w:rPr>
          <w:fldChar w:fldCharType="separate"/>
        </w:r>
        <w:r w:rsidR="00770FCB">
          <w:rPr>
            <w:rFonts w:cs="Arial"/>
            <w:noProof/>
            <w:sz w:val="20"/>
          </w:rPr>
          <w:t>2</w:t>
        </w:r>
        <w:r w:rsidR="00932F28" w:rsidRPr="00932F28">
          <w:rPr>
            <w:rFonts w:cs="Arial"/>
            <w:noProof/>
            <w:sz w:val="20"/>
          </w:rPr>
          <w:fldChar w:fldCharType="end"/>
        </w:r>
        <w:r w:rsidR="00932F28">
          <w:rPr>
            <w:rFonts w:cs="Arial"/>
            <w:noProof/>
            <w:sz w:val="20"/>
          </w:rPr>
          <w:tab/>
        </w:r>
      </w:sdtContent>
    </w:sdt>
    <w:r w:rsidR="00932F28" w:rsidRPr="00932F28">
      <w:rPr>
        <w:rFonts w:cs="Arial"/>
        <w:b/>
        <w:sz w:val="18"/>
        <w:szCs w:val="18"/>
      </w:rPr>
      <w:t>revised</w:t>
    </w:r>
    <w:r w:rsidR="00932F28" w:rsidRPr="00761786">
      <w:rPr>
        <w:rFonts w:cs="Arial"/>
        <w:sz w:val="18"/>
        <w:szCs w:val="18"/>
      </w:rPr>
      <w:t xml:space="preserve">: </w:t>
    </w:r>
    <w:r w:rsidR="006E13B7">
      <w:rPr>
        <w:rFonts w:cs="Arial"/>
        <w:sz w:val="18"/>
        <w:szCs w:val="18"/>
      </w:rPr>
      <w:t>December 13, 2022</w:t>
    </w:r>
  </w:p>
  <w:p w14:paraId="373CE2FA" w14:textId="77777777" w:rsidR="00932F28" w:rsidRPr="001268BE" w:rsidRDefault="00932F28" w:rsidP="00932F28">
    <w:pPr>
      <w:pStyle w:val="Footer"/>
      <w:tabs>
        <w:tab w:val="clear" w:pos="4680"/>
        <w:tab w:val="clear" w:pos="9360"/>
        <w:tab w:val="center" w:pos="5040"/>
        <w:tab w:val="right" w:pos="10620"/>
      </w:tabs>
      <w:rPr>
        <w:rFonts w:cs="Arial"/>
        <w:sz w:val="18"/>
        <w:szCs w:val="18"/>
      </w:rPr>
    </w:pPr>
    <w:r>
      <w:rPr>
        <w:rFonts w:cs="Arial"/>
        <w:sz w:val="20"/>
      </w:rPr>
      <w:tab/>
    </w:r>
    <w:r>
      <w:rPr>
        <w:rFonts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B68" w14:textId="14F7D6B7" w:rsidR="00BC5120" w:rsidRDefault="003F096B" w:rsidP="00BC5120">
    <w:pPr>
      <w:pStyle w:val="Footer"/>
      <w:tabs>
        <w:tab w:val="clear" w:pos="4680"/>
        <w:tab w:val="clear" w:pos="9360"/>
        <w:tab w:val="center" w:pos="5040"/>
        <w:tab w:val="right" w:pos="10620"/>
      </w:tabs>
      <w:rPr>
        <w:rFonts w:cs="Arial"/>
        <w:sz w:val="20"/>
      </w:rPr>
    </w:pPr>
    <w:sdt>
      <w:sdtPr>
        <w:id w:val="510341656"/>
        <w:docPartObj>
          <w:docPartGallery w:val="Page Numbers (Bottom of Page)"/>
          <w:docPartUnique/>
        </w:docPartObj>
      </w:sdtPr>
      <w:sdtEndPr>
        <w:rPr>
          <w:rFonts w:cs="Arial"/>
          <w:noProof/>
          <w:sz w:val="20"/>
        </w:rPr>
      </w:sdtEndPr>
      <w:sdtContent>
        <w:hyperlink r:id="rId1" w:history="1">
          <w:r w:rsidR="00BC5120">
            <w:rPr>
              <w:rStyle w:val="Hyperlink"/>
              <w:rFonts w:cs="Arial"/>
              <w:color w:val="auto"/>
              <w:sz w:val="18"/>
              <w:szCs w:val="18"/>
              <w:u w:val="none"/>
            </w:rPr>
            <w:t>HoustonPermittingCenter.org</w:t>
          </w:r>
        </w:hyperlink>
        <w:r w:rsidR="00BC5120" w:rsidRPr="00C02CBA">
          <w:rPr>
            <w:rFonts w:cs="Arial"/>
            <w:color w:val="262626" w:themeColor="text1" w:themeTint="D9"/>
            <w:sz w:val="20"/>
          </w:rPr>
          <w:t xml:space="preserve"> </w:t>
        </w:r>
        <w:r w:rsidR="00BC5120">
          <w:rPr>
            <w:rFonts w:cs="Arial"/>
            <w:sz w:val="20"/>
          </w:rPr>
          <w:tab/>
        </w:r>
        <w:r w:rsidR="00BC5120" w:rsidRPr="00932F28">
          <w:rPr>
            <w:rFonts w:cs="Arial"/>
            <w:sz w:val="20"/>
          </w:rPr>
          <w:fldChar w:fldCharType="begin"/>
        </w:r>
        <w:r w:rsidR="00BC5120" w:rsidRPr="00932F28">
          <w:rPr>
            <w:rFonts w:cs="Arial"/>
            <w:sz w:val="20"/>
          </w:rPr>
          <w:instrText xml:space="preserve"> PAGE   \* MERGEFORMAT </w:instrText>
        </w:r>
        <w:r w:rsidR="00BC5120" w:rsidRPr="00932F28">
          <w:rPr>
            <w:rFonts w:cs="Arial"/>
            <w:sz w:val="20"/>
          </w:rPr>
          <w:fldChar w:fldCharType="separate"/>
        </w:r>
        <w:r w:rsidR="00BC5120">
          <w:rPr>
            <w:rFonts w:cs="Arial"/>
            <w:sz w:val="20"/>
          </w:rPr>
          <w:t>2</w:t>
        </w:r>
        <w:r w:rsidR="00BC5120" w:rsidRPr="00932F28">
          <w:rPr>
            <w:rFonts w:cs="Arial"/>
            <w:noProof/>
            <w:sz w:val="20"/>
          </w:rPr>
          <w:fldChar w:fldCharType="end"/>
        </w:r>
        <w:r w:rsidR="00BC5120">
          <w:rPr>
            <w:rFonts w:cs="Arial"/>
            <w:noProof/>
            <w:sz w:val="20"/>
          </w:rPr>
          <w:tab/>
        </w:r>
      </w:sdtContent>
    </w:sdt>
    <w:r w:rsidR="00BC5120" w:rsidRPr="00932F28">
      <w:rPr>
        <w:rFonts w:cs="Arial"/>
        <w:b/>
        <w:sz w:val="18"/>
        <w:szCs w:val="18"/>
      </w:rPr>
      <w:t>revised</w:t>
    </w:r>
    <w:r w:rsidR="00BC5120" w:rsidRPr="00761786">
      <w:rPr>
        <w:rFonts w:cs="Arial"/>
        <w:sz w:val="18"/>
        <w:szCs w:val="18"/>
      </w:rPr>
      <w:t xml:space="preserve">: </w:t>
    </w:r>
    <w:r w:rsidR="00CF0C90">
      <w:rPr>
        <w:rFonts w:cs="Arial"/>
        <w:sz w:val="18"/>
        <w:szCs w:val="18"/>
      </w:rPr>
      <w:t>December</w:t>
    </w:r>
    <w:r w:rsidR="006E13B7">
      <w:rPr>
        <w:rFonts w:cs="Arial"/>
        <w:sz w:val="18"/>
        <w:szCs w:val="18"/>
      </w:rPr>
      <w:t xml:space="preserve"> 13, 2022</w:t>
    </w:r>
  </w:p>
  <w:p w14:paraId="52F7496A" w14:textId="77777777" w:rsidR="00BC5120" w:rsidRPr="00BC5120" w:rsidRDefault="00BC5120" w:rsidP="00BC5120">
    <w:pPr>
      <w:pStyle w:val="Footer"/>
      <w:tabs>
        <w:tab w:val="clear" w:pos="4680"/>
        <w:tab w:val="clear" w:pos="9360"/>
        <w:tab w:val="center" w:pos="5040"/>
        <w:tab w:val="right" w:pos="10620"/>
      </w:tabs>
      <w:rPr>
        <w:rFonts w:cs="Arial"/>
        <w:sz w:val="18"/>
        <w:szCs w:val="18"/>
      </w:rPr>
    </w:pPr>
    <w:r>
      <w:rPr>
        <w:rFonts w:cs="Arial"/>
        <w:sz w:val="20"/>
      </w:rPr>
      <w:tab/>
    </w:r>
    <w:r>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A70C" w14:textId="77777777" w:rsidR="00F9260D" w:rsidRDefault="00F9260D" w:rsidP="00761786">
      <w:pPr>
        <w:spacing w:after="0" w:line="240" w:lineRule="auto"/>
      </w:pPr>
      <w:r>
        <w:separator/>
      </w:r>
    </w:p>
  </w:footnote>
  <w:footnote w:type="continuationSeparator" w:id="0">
    <w:p w14:paraId="51CAA321" w14:textId="77777777" w:rsidR="00F9260D" w:rsidRDefault="00F9260D" w:rsidP="0076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1A10" w14:textId="209181D8" w:rsidR="0009362D" w:rsidRPr="00761786" w:rsidRDefault="003F096B" w:rsidP="0009362D">
    <w:pPr>
      <w:pStyle w:val="Header"/>
      <w:tabs>
        <w:tab w:val="clear" w:pos="4680"/>
        <w:tab w:val="clear" w:pos="9360"/>
        <w:tab w:val="right" w:pos="10620"/>
      </w:tabs>
      <w:rPr>
        <w:rFonts w:cs="Arial"/>
        <w:b/>
        <w:color w:val="262626" w:themeColor="text1" w:themeTint="D9"/>
        <w:sz w:val="28"/>
        <w:szCs w:val="28"/>
      </w:rPr>
    </w:pPr>
    <w:r w:rsidRPr="00761786">
      <w:rPr>
        <w:rFonts w:cs="Arial"/>
        <w:noProof/>
        <w:sz w:val="28"/>
        <w:szCs w:val="28"/>
      </w:rPr>
      <w:drawing>
        <wp:anchor distT="0" distB="0" distL="114300" distR="114300" simplePos="0" relativeHeight="251662336" behindDoc="1" locked="0" layoutInCell="1" allowOverlap="1" wp14:anchorId="4878B373" wp14:editId="6FFBC8B8">
          <wp:simplePos x="0" y="0"/>
          <wp:positionH relativeFrom="column">
            <wp:posOffset>-98385</wp:posOffset>
          </wp:positionH>
          <wp:positionV relativeFrom="paragraph">
            <wp:posOffset>-86995</wp:posOffset>
          </wp:positionV>
          <wp:extent cx="2368550" cy="499110"/>
          <wp:effectExtent l="0" t="0" r="0" b="0"/>
          <wp:wrapTight wrapText="bothSides">
            <wp:wrapPolygon edited="0">
              <wp:start x="0" y="0"/>
              <wp:lineTo x="0" y="20611"/>
              <wp:lineTo x="347" y="20611"/>
              <wp:lineTo x="4343" y="20611"/>
              <wp:lineTo x="21368" y="20611"/>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PublicWorks - City Seal-small.png"/>
                  <pic:cNvPicPr/>
                </pic:nvPicPr>
                <pic:blipFill>
                  <a:blip r:embed="rId1">
                    <a:extLst>
                      <a:ext uri="{28A0092B-C50C-407E-A947-70E740481C1C}">
                        <a14:useLocalDpi xmlns:a14="http://schemas.microsoft.com/office/drawing/2010/main" val="0"/>
                      </a:ext>
                    </a:extLst>
                  </a:blip>
                  <a:stretch>
                    <a:fillRect/>
                  </a:stretch>
                </pic:blipFill>
                <pic:spPr>
                  <a:xfrm>
                    <a:off x="0" y="0"/>
                    <a:ext cx="2368550" cy="499110"/>
                  </a:xfrm>
                  <a:prstGeom prst="rect">
                    <a:avLst/>
                  </a:prstGeom>
                </pic:spPr>
              </pic:pic>
            </a:graphicData>
          </a:graphic>
          <wp14:sizeRelH relativeFrom="page">
            <wp14:pctWidth>0</wp14:pctWidth>
          </wp14:sizeRelH>
          <wp14:sizeRelV relativeFrom="page">
            <wp14:pctHeight>0</wp14:pctHeight>
          </wp14:sizeRelV>
        </wp:anchor>
      </w:drawing>
    </w:r>
    <w:r w:rsidR="0009362D">
      <w:rPr>
        <w:rFonts w:cs="Arial"/>
        <w:b/>
        <w:color w:val="262626" w:themeColor="text1" w:themeTint="D9"/>
        <w:sz w:val="28"/>
        <w:szCs w:val="28"/>
      </w:rPr>
      <w:tab/>
    </w:r>
    <w:r>
      <w:rPr>
        <w:rFonts w:cs="Arial"/>
        <w:b/>
        <w:color w:val="262626" w:themeColor="text2"/>
        <w:sz w:val="28"/>
        <w:szCs w:val="28"/>
      </w:rPr>
      <w:t>CITY OF HOUSTON</w:t>
    </w:r>
  </w:p>
  <w:p w14:paraId="7DEDBA31" w14:textId="00048CAB" w:rsidR="00761786" w:rsidRDefault="00761786" w:rsidP="00761786">
    <w:pPr>
      <w:pStyle w:val="Header"/>
      <w:tabs>
        <w:tab w:val="clear" w:pos="4680"/>
        <w:tab w:val="clear" w:pos="9360"/>
        <w:tab w:val="right" w:pos="10620"/>
      </w:tabs>
      <w:rPr>
        <w:rFonts w:cs="Arial"/>
        <w:color w:val="262626" w:themeColor="text2"/>
        <w:sz w:val="28"/>
        <w:szCs w:val="28"/>
      </w:rPr>
    </w:pPr>
    <w:r>
      <w:rPr>
        <w:rFonts w:cs="Arial"/>
        <w:b/>
        <w:color w:val="262626" w:themeColor="text1" w:themeTint="D9"/>
        <w:sz w:val="28"/>
        <w:szCs w:val="28"/>
      </w:rPr>
      <w:tab/>
    </w:r>
    <w:r w:rsidR="001D1AA7">
      <w:rPr>
        <w:rFonts w:cs="Arial"/>
        <w:color w:val="262626" w:themeColor="text2"/>
        <w:sz w:val="28"/>
        <w:szCs w:val="28"/>
      </w:rPr>
      <w:t>SANITARY SEWERS CONSTRUCTION NOTES</w:t>
    </w:r>
  </w:p>
  <w:p w14:paraId="64A671D0" w14:textId="77777777" w:rsidR="006E7538" w:rsidRPr="0095537E" w:rsidRDefault="006E7538" w:rsidP="00761786">
    <w:pPr>
      <w:pStyle w:val="Header"/>
      <w:tabs>
        <w:tab w:val="clear" w:pos="4680"/>
        <w:tab w:val="clear" w:pos="9360"/>
        <w:tab w:val="right" w:pos="10620"/>
      </w:tabs>
      <w:rPr>
        <w:rFonts w:cs="Arial"/>
        <w:color w:val="262626" w:themeColor="text1" w:themeTint="D9"/>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DBF1" w14:textId="77777777" w:rsidR="00770FCB" w:rsidRPr="00CB16BA" w:rsidRDefault="00770FCB" w:rsidP="00770FCB">
    <w:pPr>
      <w:pStyle w:val="Header"/>
      <w:tabs>
        <w:tab w:val="clear" w:pos="4680"/>
        <w:tab w:val="clear" w:pos="9360"/>
        <w:tab w:val="right" w:pos="10620"/>
      </w:tabs>
      <w:rPr>
        <w:rFonts w:cs="Arial"/>
        <w:b/>
        <w:color w:val="262626" w:themeColor="text2"/>
        <w:sz w:val="28"/>
        <w:szCs w:val="28"/>
      </w:rPr>
    </w:pPr>
    <w:r w:rsidRPr="00761786">
      <w:rPr>
        <w:rFonts w:cs="Arial"/>
        <w:noProof/>
        <w:sz w:val="28"/>
        <w:szCs w:val="28"/>
      </w:rPr>
      <w:drawing>
        <wp:anchor distT="0" distB="0" distL="114300" distR="114300" simplePos="0" relativeHeight="251660288" behindDoc="1" locked="0" layoutInCell="1" allowOverlap="1" wp14:anchorId="029EA37A" wp14:editId="1AF231D3">
          <wp:simplePos x="0" y="0"/>
          <wp:positionH relativeFrom="column">
            <wp:posOffset>-101600</wp:posOffset>
          </wp:positionH>
          <wp:positionV relativeFrom="paragraph">
            <wp:posOffset>-82550</wp:posOffset>
          </wp:positionV>
          <wp:extent cx="2368550" cy="499110"/>
          <wp:effectExtent l="0" t="0" r="0" b="0"/>
          <wp:wrapTight wrapText="bothSides">
            <wp:wrapPolygon edited="0">
              <wp:start x="0" y="0"/>
              <wp:lineTo x="0" y="20611"/>
              <wp:lineTo x="347" y="20611"/>
              <wp:lineTo x="4343" y="20611"/>
              <wp:lineTo x="21368" y="20611"/>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PublicWorks - City Seal-small.png"/>
                  <pic:cNvPicPr/>
                </pic:nvPicPr>
                <pic:blipFill>
                  <a:blip r:embed="rId1">
                    <a:extLst>
                      <a:ext uri="{28A0092B-C50C-407E-A947-70E740481C1C}">
                        <a14:useLocalDpi xmlns:a14="http://schemas.microsoft.com/office/drawing/2010/main" val="0"/>
                      </a:ext>
                    </a:extLst>
                  </a:blip>
                  <a:stretch>
                    <a:fillRect/>
                  </a:stretch>
                </pic:blipFill>
                <pic:spPr>
                  <a:xfrm>
                    <a:off x="0" y="0"/>
                    <a:ext cx="2368550" cy="499110"/>
                  </a:xfrm>
                  <a:prstGeom prst="rect">
                    <a:avLst/>
                  </a:prstGeom>
                </pic:spPr>
              </pic:pic>
            </a:graphicData>
          </a:graphic>
          <wp14:sizeRelH relativeFrom="page">
            <wp14:pctWidth>0</wp14:pctWidth>
          </wp14:sizeRelH>
          <wp14:sizeRelV relativeFrom="page">
            <wp14:pctHeight>0</wp14:pctHeight>
          </wp14:sizeRelV>
        </wp:anchor>
      </w:drawing>
    </w:r>
    <w:r>
      <w:rPr>
        <w:rFonts w:cs="Arial"/>
        <w:b/>
        <w:color w:val="262626" w:themeColor="text1" w:themeTint="D9"/>
        <w:sz w:val="28"/>
        <w:szCs w:val="28"/>
      </w:rPr>
      <w:tab/>
    </w:r>
    <w:r w:rsidR="00A351F8">
      <w:rPr>
        <w:rFonts w:cs="Arial"/>
        <w:b/>
        <w:color w:val="262626" w:themeColor="text2"/>
        <w:sz w:val="28"/>
        <w:szCs w:val="28"/>
      </w:rPr>
      <w:t>CITY OF HOUSTON</w:t>
    </w:r>
  </w:p>
  <w:p w14:paraId="4761A32A" w14:textId="77777777" w:rsidR="00770FCB" w:rsidRPr="00CB16BA" w:rsidRDefault="00ED3F92" w:rsidP="00770FCB">
    <w:pPr>
      <w:pStyle w:val="Header"/>
      <w:tabs>
        <w:tab w:val="clear" w:pos="4680"/>
        <w:tab w:val="clear" w:pos="9360"/>
        <w:tab w:val="right" w:pos="10620"/>
      </w:tabs>
      <w:rPr>
        <w:color w:val="262626" w:themeColor="text2"/>
      </w:rPr>
    </w:pPr>
    <w:r w:rsidRPr="00CB16BA">
      <w:rPr>
        <w:rFonts w:cs="Arial"/>
        <w:b/>
        <w:color w:val="262626" w:themeColor="text2"/>
        <w:sz w:val="28"/>
        <w:szCs w:val="28"/>
      </w:rPr>
      <w:tab/>
    </w:r>
    <w:r w:rsidR="001D1AA7">
      <w:rPr>
        <w:rFonts w:cs="Arial"/>
        <w:color w:val="262626" w:themeColor="text2"/>
        <w:sz w:val="28"/>
        <w:szCs w:val="28"/>
      </w:rPr>
      <w:t>SANITARY SEWERS CONSTRUCTION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1F05"/>
    <w:multiLevelType w:val="hybridMultilevel"/>
    <w:tmpl w:val="A0C8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674F4"/>
    <w:multiLevelType w:val="hybridMultilevel"/>
    <w:tmpl w:val="9E78CC64"/>
    <w:lvl w:ilvl="0" w:tplc="4D90E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075459">
    <w:abstractNumId w:val="0"/>
  </w:num>
  <w:num w:numId="2" w16cid:durableId="58996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F8"/>
    <w:rsid w:val="0003359C"/>
    <w:rsid w:val="0009362D"/>
    <w:rsid w:val="000C5774"/>
    <w:rsid w:val="000E6BC7"/>
    <w:rsid w:val="001268BE"/>
    <w:rsid w:val="00153A19"/>
    <w:rsid w:val="00162BB0"/>
    <w:rsid w:val="001667DF"/>
    <w:rsid w:val="001A193F"/>
    <w:rsid w:val="001D1AA7"/>
    <w:rsid w:val="00201C0C"/>
    <w:rsid w:val="002C4033"/>
    <w:rsid w:val="00320994"/>
    <w:rsid w:val="00353B3F"/>
    <w:rsid w:val="003C76BF"/>
    <w:rsid w:val="003F096B"/>
    <w:rsid w:val="00481DFB"/>
    <w:rsid w:val="00491696"/>
    <w:rsid w:val="004C59CF"/>
    <w:rsid w:val="004E0833"/>
    <w:rsid w:val="00517239"/>
    <w:rsid w:val="00670F99"/>
    <w:rsid w:val="0069600C"/>
    <w:rsid w:val="006A403A"/>
    <w:rsid w:val="006E11A4"/>
    <w:rsid w:val="006E13B7"/>
    <w:rsid w:val="006E7538"/>
    <w:rsid w:val="0070096C"/>
    <w:rsid w:val="0071761A"/>
    <w:rsid w:val="00717E9B"/>
    <w:rsid w:val="00761786"/>
    <w:rsid w:val="007661CB"/>
    <w:rsid w:val="00770FCB"/>
    <w:rsid w:val="00791014"/>
    <w:rsid w:val="007B533C"/>
    <w:rsid w:val="007D6B4E"/>
    <w:rsid w:val="00800828"/>
    <w:rsid w:val="00820629"/>
    <w:rsid w:val="008C3CE4"/>
    <w:rsid w:val="008D1E41"/>
    <w:rsid w:val="00923E8F"/>
    <w:rsid w:val="009242A1"/>
    <w:rsid w:val="00932F28"/>
    <w:rsid w:val="00946D9E"/>
    <w:rsid w:val="0095537E"/>
    <w:rsid w:val="009D6F50"/>
    <w:rsid w:val="009F5AA2"/>
    <w:rsid w:val="00A351F8"/>
    <w:rsid w:val="00A83178"/>
    <w:rsid w:val="00A91A85"/>
    <w:rsid w:val="00AA02D4"/>
    <w:rsid w:val="00AA4358"/>
    <w:rsid w:val="00AC6592"/>
    <w:rsid w:val="00AF7CBD"/>
    <w:rsid w:val="00B103AB"/>
    <w:rsid w:val="00B169B4"/>
    <w:rsid w:val="00B27F2F"/>
    <w:rsid w:val="00B75B4A"/>
    <w:rsid w:val="00BC3130"/>
    <w:rsid w:val="00BC5120"/>
    <w:rsid w:val="00C02CBA"/>
    <w:rsid w:val="00C10499"/>
    <w:rsid w:val="00C30998"/>
    <w:rsid w:val="00C93724"/>
    <w:rsid w:val="00CA2954"/>
    <w:rsid w:val="00CB16BA"/>
    <w:rsid w:val="00CF0C90"/>
    <w:rsid w:val="00D51CB0"/>
    <w:rsid w:val="00D813D8"/>
    <w:rsid w:val="00D87E94"/>
    <w:rsid w:val="00DB1853"/>
    <w:rsid w:val="00DC5F65"/>
    <w:rsid w:val="00E14F1B"/>
    <w:rsid w:val="00E25A62"/>
    <w:rsid w:val="00E92C8E"/>
    <w:rsid w:val="00EA4C1F"/>
    <w:rsid w:val="00ED3F92"/>
    <w:rsid w:val="00F1691B"/>
    <w:rsid w:val="00F22323"/>
    <w:rsid w:val="00F9260D"/>
    <w:rsid w:val="00FA1CB5"/>
    <w:rsid w:val="00FA604D"/>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FC179"/>
  <w15:chartTrackingRefBased/>
  <w15:docId w15:val="{D9932980-750A-4691-B8E9-5E49B3BB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92"/>
    <w:rPr>
      <w:rFonts w:ascii="Arial" w:hAnsi="Arial"/>
      <w:color w:val="000000" w:themeColor="text1"/>
    </w:rPr>
  </w:style>
  <w:style w:type="paragraph" w:styleId="Heading1">
    <w:name w:val="heading 1"/>
    <w:basedOn w:val="Normal"/>
    <w:next w:val="Normal"/>
    <w:link w:val="Heading1Char"/>
    <w:uiPriority w:val="9"/>
    <w:qFormat/>
    <w:rsid w:val="00ED3F92"/>
    <w:pPr>
      <w:keepNext/>
      <w:keepLines/>
      <w:spacing w:before="240" w:after="0"/>
      <w:outlineLvl w:val="0"/>
    </w:pPr>
    <w:rPr>
      <w:rFonts w:eastAsiaTheme="majorEastAsia" w:cstheme="majorBidi"/>
      <w:b/>
      <w:caps/>
      <w:color w:val="001E60" w:themeColor="accent1"/>
      <w:sz w:val="24"/>
      <w:szCs w:val="32"/>
    </w:rPr>
  </w:style>
  <w:style w:type="paragraph" w:styleId="Heading2">
    <w:name w:val="heading 2"/>
    <w:basedOn w:val="Normal"/>
    <w:next w:val="Normal"/>
    <w:link w:val="Heading2Char"/>
    <w:uiPriority w:val="9"/>
    <w:unhideWhenUsed/>
    <w:qFormat/>
    <w:rsid w:val="00FA604D"/>
    <w:pPr>
      <w:keepNext/>
      <w:keepLines/>
      <w:spacing w:before="40" w:after="0"/>
      <w:outlineLvl w:val="1"/>
    </w:pPr>
    <w:rPr>
      <w:rFonts w:eastAsiaTheme="majorEastAsia" w:cstheme="majorBidi"/>
      <w:b/>
      <w:color w:val="001E60" w:themeColor="accent1"/>
      <w:sz w:val="24"/>
      <w:szCs w:val="26"/>
    </w:rPr>
  </w:style>
  <w:style w:type="paragraph" w:styleId="Heading3">
    <w:name w:val="heading 3"/>
    <w:basedOn w:val="Normal"/>
    <w:next w:val="Normal"/>
    <w:link w:val="Heading3Char"/>
    <w:uiPriority w:val="9"/>
    <w:unhideWhenUsed/>
    <w:qFormat/>
    <w:rsid w:val="00FA604D"/>
    <w:pPr>
      <w:keepNext/>
      <w:keepLines/>
      <w:spacing w:before="40" w:after="0"/>
      <w:outlineLvl w:val="2"/>
    </w:pPr>
    <w:rPr>
      <w:rFonts w:eastAsiaTheme="majorEastAsia" w:cstheme="majorBidi"/>
      <w:b/>
      <w:caps/>
      <w:color w:val="688197" w:themeColor="accent3"/>
      <w:szCs w:val="24"/>
    </w:rPr>
  </w:style>
  <w:style w:type="paragraph" w:styleId="Heading4">
    <w:name w:val="heading 4"/>
    <w:basedOn w:val="Normal"/>
    <w:next w:val="Normal"/>
    <w:link w:val="Heading4Char"/>
    <w:uiPriority w:val="9"/>
    <w:unhideWhenUsed/>
    <w:qFormat/>
    <w:rsid w:val="00FA604D"/>
    <w:pPr>
      <w:keepNext/>
      <w:keepLines/>
      <w:spacing w:before="40" w:after="0"/>
      <w:outlineLvl w:val="3"/>
    </w:pPr>
    <w:rPr>
      <w:rFonts w:eastAsiaTheme="majorEastAsia" w:cstheme="majorBidi"/>
      <w:b/>
      <w:i/>
      <w:iCs/>
      <w:color w:val="688197" w:themeColor="accent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86"/>
  </w:style>
  <w:style w:type="paragraph" w:styleId="Footer">
    <w:name w:val="footer"/>
    <w:basedOn w:val="Normal"/>
    <w:link w:val="FooterChar"/>
    <w:uiPriority w:val="99"/>
    <w:unhideWhenUsed/>
    <w:rsid w:val="0076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86"/>
  </w:style>
  <w:style w:type="paragraph" w:styleId="BalloonText">
    <w:name w:val="Balloon Text"/>
    <w:basedOn w:val="Normal"/>
    <w:link w:val="BalloonTextChar"/>
    <w:uiPriority w:val="99"/>
    <w:semiHidden/>
    <w:unhideWhenUsed/>
    <w:rsid w:val="0009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62D"/>
    <w:rPr>
      <w:rFonts w:ascii="Segoe UI" w:hAnsi="Segoe UI" w:cs="Segoe UI"/>
      <w:sz w:val="18"/>
      <w:szCs w:val="18"/>
    </w:rPr>
  </w:style>
  <w:style w:type="character" w:styleId="Hyperlink">
    <w:name w:val="Hyperlink"/>
    <w:basedOn w:val="DefaultParagraphFont"/>
    <w:uiPriority w:val="99"/>
    <w:unhideWhenUsed/>
    <w:rsid w:val="00C02CBA"/>
    <w:rPr>
      <w:color w:val="001E60" w:themeColor="hyperlink"/>
      <w:u w:val="single"/>
    </w:rPr>
  </w:style>
  <w:style w:type="character" w:styleId="UnresolvedMention">
    <w:name w:val="Unresolved Mention"/>
    <w:basedOn w:val="DefaultParagraphFont"/>
    <w:uiPriority w:val="99"/>
    <w:semiHidden/>
    <w:unhideWhenUsed/>
    <w:rsid w:val="00C02CBA"/>
    <w:rPr>
      <w:color w:val="808080"/>
      <w:shd w:val="clear" w:color="auto" w:fill="E6E6E6"/>
    </w:rPr>
  </w:style>
  <w:style w:type="paragraph" w:styleId="NoSpacing">
    <w:name w:val="No Spacing"/>
    <w:uiPriority w:val="1"/>
    <w:qFormat/>
    <w:rsid w:val="00ED3F92"/>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ED3F92"/>
    <w:rPr>
      <w:rFonts w:ascii="Arial" w:eastAsiaTheme="majorEastAsia" w:hAnsi="Arial" w:cstheme="majorBidi"/>
      <w:b/>
      <w:caps/>
      <w:color w:val="001E60" w:themeColor="accent1"/>
      <w:sz w:val="24"/>
      <w:szCs w:val="32"/>
    </w:rPr>
  </w:style>
  <w:style w:type="character" w:customStyle="1" w:styleId="Heading2Char">
    <w:name w:val="Heading 2 Char"/>
    <w:basedOn w:val="DefaultParagraphFont"/>
    <w:link w:val="Heading2"/>
    <w:uiPriority w:val="9"/>
    <w:rsid w:val="00FA604D"/>
    <w:rPr>
      <w:rFonts w:ascii="Arial" w:eastAsiaTheme="majorEastAsia" w:hAnsi="Arial" w:cstheme="majorBidi"/>
      <w:b/>
      <w:color w:val="001E60" w:themeColor="accent1"/>
      <w:sz w:val="24"/>
      <w:szCs w:val="26"/>
    </w:rPr>
  </w:style>
  <w:style w:type="table" w:styleId="TableGrid">
    <w:name w:val="Table Grid"/>
    <w:basedOn w:val="TableNormal"/>
    <w:uiPriority w:val="39"/>
    <w:rsid w:val="00A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A02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
    <w:name w:val="List Table 4"/>
    <w:basedOn w:val="TableNormal"/>
    <w:uiPriority w:val="49"/>
    <w:rsid w:val="00AA02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A02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A02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3">
    <w:name w:val="Grid Table 4 Accent 3"/>
    <w:basedOn w:val="TableNormal"/>
    <w:uiPriority w:val="49"/>
    <w:rsid w:val="00AA02D4"/>
    <w:pPr>
      <w:spacing w:after="0" w:line="240" w:lineRule="auto"/>
    </w:pPr>
    <w:tblPr>
      <w:tblStyleRowBandSize w:val="1"/>
      <w:tblStyleColBandSize w:val="1"/>
      <w:tblBorders>
        <w:top w:val="single" w:sz="4" w:space="0" w:color="A4B3C0" w:themeColor="accent3" w:themeTint="99"/>
        <w:left w:val="single" w:sz="4" w:space="0" w:color="A4B3C0" w:themeColor="accent3" w:themeTint="99"/>
        <w:bottom w:val="single" w:sz="4" w:space="0" w:color="A4B3C0" w:themeColor="accent3" w:themeTint="99"/>
        <w:right w:val="single" w:sz="4" w:space="0" w:color="A4B3C0" w:themeColor="accent3" w:themeTint="99"/>
        <w:insideH w:val="single" w:sz="4" w:space="0" w:color="A4B3C0" w:themeColor="accent3" w:themeTint="99"/>
        <w:insideV w:val="single" w:sz="4" w:space="0" w:color="A4B3C0" w:themeColor="accent3" w:themeTint="99"/>
      </w:tblBorders>
    </w:tblPr>
    <w:tblStylePr w:type="firstRow">
      <w:rPr>
        <w:b/>
        <w:bCs/>
        <w:color w:val="FFFFFF" w:themeColor="background1"/>
      </w:rPr>
      <w:tblPr/>
      <w:tcPr>
        <w:tcBorders>
          <w:top w:val="single" w:sz="4" w:space="0" w:color="688197" w:themeColor="accent3"/>
          <w:left w:val="single" w:sz="4" w:space="0" w:color="688197" w:themeColor="accent3"/>
          <w:bottom w:val="single" w:sz="4" w:space="0" w:color="688197" w:themeColor="accent3"/>
          <w:right w:val="single" w:sz="4" w:space="0" w:color="688197" w:themeColor="accent3"/>
          <w:insideH w:val="nil"/>
          <w:insideV w:val="nil"/>
        </w:tcBorders>
        <w:shd w:val="clear" w:color="auto" w:fill="688197" w:themeFill="accent3"/>
      </w:tcPr>
    </w:tblStylePr>
    <w:tblStylePr w:type="lastRow">
      <w:rPr>
        <w:b/>
        <w:bCs/>
      </w:rPr>
      <w:tblPr/>
      <w:tcPr>
        <w:tcBorders>
          <w:top w:val="double" w:sz="4" w:space="0" w:color="688197" w:themeColor="accent3"/>
        </w:tcBorders>
      </w:tcPr>
    </w:tblStylePr>
    <w:tblStylePr w:type="firstCol">
      <w:rPr>
        <w:b/>
        <w:bCs/>
      </w:rPr>
    </w:tblStylePr>
    <w:tblStylePr w:type="lastCol">
      <w:rPr>
        <w:b/>
        <w:bCs/>
      </w:rPr>
    </w:tblStylePr>
    <w:tblStylePr w:type="band1Vert">
      <w:tblPr/>
      <w:tcPr>
        <w:shd w:val="clear" w:color="auto" w:fill="E0E5EA" w:themeFill="accent3" w:themeFillTint="33"/>
      </w:tcPr>
    </w:tblStylePr>
    <w:tblStylePr w:type="band1Horz">
      <w:tblPr/>
      <w:tcPr>
        <w:shd w:val="clear" w:color="auto" w:fill="E0E5EA" w:themeFill="accent3" w:themeFillTint="33"/>
      </w:tcPr>
    </w:tblStylePr>
  </w:style>
  <w:style w:type="table" w:styleId="GridTable4">
    <w:name w:val="Grid Table 4"/>
    <w:basedOn w:val="TableNormal"/>
    <w:uiPriority w:val="49"/>
    <w:rsid w:val="00AA02D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AA02D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AA02D4"/>
    <w:pPr>
      <w:spacing w:after="0" w:line="240" w:lineRule="auto"/>
    </w:pPr>
    <w:tblPr>
      <w:tblStyleRowBandSize w:val="1"/>
      <w:tblStyleColBandSize w:val="1"/>
    </w:tblPr>
    <w:tblStylePr w:type="firstRow">
      <w:rPr>
        <w:b/>
        <w:bCs/>
      </w:rPr>
      <w:tblPr/>
      <w:tcPr>
        <w:tcBorders>
          <w:bottom w:val="single" w:sz="4" w:space="0" w:color="A4B3C0" w:themeColor="accent3" w:themeTint="99"/>
        </w:tcBorders>
      </w:tcPr>
    </w:tblStylePr>
    <w:tblStylePr w:type="lastRow">
      <w:rPr>
        <w:b/>
        <w:bCs/>
      </w:rPr>
      <w:tblPr/>
      <w:tcPr>
        <w:tcBorders>
          <w:top w:val="single" w:sz="4" w:space="0" w:color="A4B3C0" w:themeColor="accent3" w:themeTint="99"/>
        </w:tcBorders>
      </w:tcPr>
    </w:tblStylePr>
    <w:tblStylePr w:type="firstCol">
      <w:rPr>
        <w:b/>
        <w:bCs/>
      </w:rPr>
    </w:tblStylePr>
    <w:tblStylePr w:type="lastCol">
      <w:rPr>
        <w:b/>
        <w:bCs/>
      </w:rPr>
    </w:tblStylePr>
    <w:tblStylePr w:type="band1Vert">
      <w:tblPr/>
      <w:tcPr>
        <w:shd w:val="clear" w:color="auto" w:fill="E0E5EA" w:themeFill="accent3" w:themeFillTint="33"/>
      </w:tcPr>
    </w:tblStylePr>
    <w:tblStylePr w:type="band1Horz">
      <w:tblPr/>
      <w:tcPr>
        <w:shd w:val="clear" w:color="auto" w:fill="E0E5EA" w:themeFill="accent3" w:themeFillTint="33"/>
      </w:tcPr>
    </w:tblStylePr>
  </w:style>
  <w:style w:type="table" w:styleId="ListTable2">
    <w:name w:val="List Table 2"/>
    <w:basedOn w:val="TableNormal"/>
    <w:uiPriority w:val="47"/>
    <w:rsid w:val="00AA02D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AA02D4"/>
    <w:pPr>
      <w:spacing w:after="0" w:line="240" w:lineRule="auto"/>
    </w:pPr>
    <w:tblPr>
      <w:tblStyleRowBandSize w:val="1"/>
      <w:tblStyleColBandSize w:val="1"/>
      <w:tblBorders>
        <w:top w:val="single" w:sz="4" w:space="0" w:color="A4B3C0" w:themeColor="accent3" w:themeTint="99"/>
        <w:bottom w:val="single" w:sz="4" w:space="0" w:color="A4B3C0" w:themeColor="accent3" w:themeTint="99"/>
        <w:insideH w:val="single" w:sz="4" w:space="0" w:color="A4B3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A" w:themeFill="accent3" w:themeFillTint="33"/>
      </w:tcPr>
    </w:tblStylePr>
    <w:tblStylePr w:type="band1Horz">
      <w:tblPr/>
      <w:tcPr>
        <w:shd w:val="clear" w:color="auto" w:fill="E0E5EA" w:themeFill="accent3" w:themeFillTint="33"/>
      </w:tcPr>
    </w:tblStylePr>
  </w:style>
  <w:style w:type="table" w:styleId="ListTable6Colorful">
    <w:name w:val="List Table 6 Colorful"/>
    <w:basedOn w:val="TableNormal"/>
    <w:uiPriority w:val="51"/>
    <w:rsid w:val="00AA02D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AA02D4"/>
    <w:pPr>
      <w:spacing w:after="0" w:line="240" w:lineRule="auto"/>
    </w:pPr>
    <w:tblPr>
      <w:tblStyleRowBandSize w:val="1"/>
      <w:tblStyleColBandSize w:val="1"/>
      <w:tblBorders>
        <w:top w:val="single" w:sz="4" w:space="0" w:color="A4B3C0" w:themeColor="accent3" w:themeTint="99"/>
        <w:left w:val="single" w:sz="4" w:space="0" w:color="A4B3C0" w:themeColor="accent3" w:themeTint="99"/>
        <w:bottom w:val="single" w:sz="4" w:space="0" w:color="A4B3C0" w:themeColor="accent3" w:themeTint="99"/>
        <w:right w:val="single" w:sz="4" w:space="0" w:color="A4B3C0" w:themeColor="accent3" w:themeTint="99"/>
        <w:insideH w:val="single" w:sz="4" w:space="0" w:color="A4B3C0" w:themeColor="accent3" w:themeTint="99"/>
      </w:tblBorders>
    </w:tblPr>
    <w:tblStylePr w:type="firstRow">
      <w:rPr>
        <w:b/>
        <w:bCs/>
        <w:color w:val="FFFFFF" w:themeColor="background1"/>
      </w:rPr>
      <w:tblPr/>
      <w:tcPr>
        <w:tcBorders>
          <w:top w:val="single" w:sz="4" w:space="0" w:color="688197" w:themeColor="accent3"/>
          <w:left w:val="single" w:sz="4" w:space="0" w:color="688197" w:themeColor="accent3"/>
          <w:bottom w:val="single" w:sz="4" w:space="0" w:color="688197" w:themeColor="accent3"/>
          <w:right w:val="single" w:sz="4" w:space="0" w:color="688197" w:themeColor="accent3"/>
          <w:insideH w:val="nil"/>
        </w:tcBorders>
        <w:shd w:val="clear" w:color="auto" w:fill="688197" w:themeFill="accent3"/>
      </w:tcPr>
    </w:tblStylePr>
    <w:tblStylePr w:type="lastRow">
      <w:rPr>
        <w:b/>
        <w:bCs/>
      </w:rPr>
      <w:tblPr/>
      <w:tcPr>
        <w:tcBorders>
          <w:top w:val="double" w:sz="4" w:space="0" w:color="A4B3C0" w:themeColor="accent3" w:themeTint="99"/>
        </w:tcBorders>
      </w:tcPr>
    </w:tblStylePr>
    <w:tblStylePr w:type="firstCol">
      <w:rPr>
        <w:b/>
        <w:bCs/>
      </w:rPr>
    </w:tblStylePr>
    <w:tblStylePr w:type="lastCol">
      <w:rPr>
        <w:b/>
        <w:bCs/>
      </w:rPr>
    </w:tblStylePr>
    <w:tblStylePr w:type="band1Vert">
      <w:tblPr/>
      <w:tcPr>
        <w:shd w:val="clear" w:color="auto" w:fill="E0E5EA" w:themeFill="accent3" w:themeFillTint="33"/>
      </w:tcPr>
    </w:tblStylePr>
    <w:tblStylePr w:type="band1Horz">
      <w:tblPr/>
      <w:tcPr>
        <w:shd w:val="clear" w:color="auto" w:fill="E0E5EA" w:themeFill="accent3" w:themeFillTint="33"/>
      </w:tcPr>
    </w:tblStylePr>
  </w:style>
  <w:style w:type="character" w:customStyle="1" w:styleId="Heading3Char">
    <w:name w:val="Heading 3 Char"/>
    <w:basedOn w:val="DefaultParagraphFont"/>
    <w:link w:val="Heading3"/>
    <w:uiPriority w:val="9"/>
    <w:rsid w:val="00FA604D"/>
    <w:rPr>
      <w:rFonts w:ascii="Arial" w:eastAsiaTheme="majorEastAsia" w:hAnsi="Arial" w:cstheme="majorBidi"/>
      <w:b/>
      <w:caps/>
      <w:color w:val="688197" w:themeColor="accent3"/>
      <w:szCs w:val="24"/>
    </w:rPr>
  </w:style>
  <w:style w:type="character" w:customStyle="1" w:styleId="Heading4Char">
    <w:name w:val="Heading 4 Char"/>
    <w:basedOn w:val="DefaultParagraphFont"/>
    <w:link w:val="Heading4"/>
    <w:uiPriority w:val="9"/>
    <w:rsid w:val="00FA604D"/>
    <w:rPr>
      <w:rFonts w:ascii="Arial" w:eastAsiaTheme="majorEastAsia" w:hAnsi="Arial" w:cstheme="majorBidi"/>
      <w:b/>
      <w:i/>
      <w:iCs/>
      <w:color w:val="688197" w:themeColor="accent3"/>
      <w:sz w:val="20"/>
    </w:rPr>
  </w:style>
  <w:style w:type="paragraph" w:styleId="Title">
    <w:name w:val="Title"/>
    <w:basedOn w:val="Normal"/>
    <w:next w:val="Normal"/>
    <w:link w:val="TitleChar"/>
    <w:uiPriority w:val="10"/>
    <w:qFormat/>
    <w:rsid w:val="001667DF"/>
    <w:pPr>
      <w:spacing w:after="0" w:line="240" w:lineRule="auto"/>
      <w:contextualSpacing/>
    </w:pPr>
    <w:rPr>
      <w:rFonts w:eastAsiaTheme="majorEastAsia" w:cstheme="majorBidi"/>
      <w:color w:val="001E60" w:themeColor="accent1"/>
      <w:spacing w:val="-10"/>
      <w:kern w:val="28"/>
      <w:sz w:val="48"/>
      <w:szCs w:val="56"/>
    </w:rPr>
  </w:style>
  <w:style w:type="character" w:customStyle="1" w:styleId="TitleChar">
    <w:name w:val="Title Char"/>
    <w:basedOn w:val="DefaultParagraphFont"/>
    <w:link w:val="Title"/>
    <w:uiPriority w:val="10"/>
    <w:rsid w:val="001667DF"/>
    <w:rPr>
      <w:rFonts w:ascii="Arial" w:eastAsiaTheme="majorEastAsia" w:hAnsi="Arial" w:cstheme="majorBidi"/>
      <w:color w:val="001E60" w:themeColor="accent1"/>
      <w:spacing w:val="-10"/>
      <w:kern w:val="28"/>
      <w:sz w:val="48"/>
      <w:szCs w:val="56"/>
    </w:rPr>
  </w:style>
  <w:style w:type="paragraph" w:styleId="Subtitle">
    <w:name w:val="Subtitle"/>
    <w:basedOn w:val="Normal"/>
    <w:next w:val="Normal"/>
    <w:link w:val="SubtitleChar"/>
    <w:uiPriority w:val="11"/>
    <w:qFormat/>
    <w:rsid w:val="001667DF"/>
    <w:pPr>
      <w:numPr>
        <w:ilvl w:val="1"/>
      </w:numPr>
    </w:pPr>
    <w:rPr>
      <w:rFonts w:eastAsiaTheme="minorEastAsia"/>
      <w:color w:val="53565A" w:themeColor="accent5"/>
      <w:spacing w:val="15"/>
    </w:rPr>
  </w:style>
  <w:style w:type="character" w:customStyle="1" w:styleId="SubtitleChar">
    <w:name w:val="Subtitle Char"/>
    <w:basedOn w:val="DefaultParagraphFont"/>
    <w:link w:val="Subtitle"/>
    <w:uiPriority w:val="11"/>
    <w:rsid w:val="001667DF"/>
    <w:rPr>
      <w:rFonts w:ascii="Arial" w:eastAsiaTheme="minorEastAsia" w:hAnsi="Arial"/>
      <w:color w:val="53565A" w:themeColor="accent5"/>
      <w:spacing w:val="15"/>
    </w:rPr>
  </w:style>
  <w:style w:type="character" w:styleId="CommentReference">
    <w:name w:val="annotation reference"/>
    <w:basedOn w:val="DefaultParagraphFont"/>
    <w:uiPriority w:val="99"/>
    <w:semiHidden/>
    <w:unhideWhenUsed/>
    <w:rsid w:val="007661CB"/>
    <w:rPr>
      <w:sz w:val="16"/>
      <w:szCs w:val="16"/>
    </w:rPr>
  </w:style>
  <w:style w:type="paragraph" w:styleId="CommentText">
    <w:name w:val="annotation text"/>
    <w:basedOn w:val="Normal"/>
    <w:link w:val="CommentTextChar"/>
    <w:uiPriority w:val="99"/>
    <w:semiHidden/>
    <w:unhideWhenUsed/>
    <w:rsid w:val="007661CB"/>
    <w:pPr>
      <w:spacing w:line="240" w:lineRule="auto"/>
    </w:pPr>
    <w:rPr>
      <w:sz w:val="20"/>
      <w:szCs w:val="20"/>
    </w:rPr>
  </w:style>
  <w:style w:type="character" w:customStyle="1" w:styleId="CommentTextChar">
    <w:name w:val="Comment Text Char"/>
    <w:basedOn w:val="DefaultParagraphFont"/>
    <w:link w:val="CommentText"/>
    <w:uiPriority w:val="99"/>
    <w:semiHidden/>
    <w:rsid w:val="007661CB"/>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661CB"/>
    <w:rPr>
      <w:b/>
      <w:bCs/>
    </w:rPr>
  </w:style>
  <w:style w:type="character" w:customStyle="1" w:styleId="CommentSubjectChar">
    <w:name w:val="Comment Subject Char"/>
    <w:basedOn w:val="CommentTextChar"/>
    <w:link w:val="CommentSubject"/>
    <w:uiPriority w:val="99"/>
    <w:semiHidden/>
    <w:rsid w:val="007661CB"/>
    <w:rPr>
      <w:rFonts w:ascii="Arial" w:hAnsi="Arial"/>
      <w:b/>
      <w:bCs/>
      <w:color w:val="000000" w:themeColor="text1"/>
      <w:sz w:val="20"/>
      <w:szCs w:val="20"/>
    </w:rPr>
  </w:style>
  <w:style w:type="paragraph" w:styleId="Revision">
    <w:name w:val="Revision"/>
    <w:hidden/>
    <w:uiPriority w:val="99"/>
    <w:semiHidden/>
    <w:rsid w:val="00CA2954"/>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houstonpermittingcent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houstonpermittingcen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66169\Desktop\Random%20Documents\007_oce-sanitary_sewer_notes.dotx" TargetMode="External"/></Relationships>
</file>

<file path=word/theme/theme1.xml><?xml version="1.0" encoding="utf-8"?>
<a:theme xmlns:a="http://schemas.openxmlformats.org/drawingml/2006/main" name="Office Theme">
  <a:themeElements>
    <a:clrScheme name="Public Works Brand">
      <a:dk1>
        <a:srgbClr val="000000"/>
      </a:dk1>
      <a:lt1>
        <a:sysClr val="window" lastClr="FFFFFF"/>
      </a:lt1>
      <a:dk2>
        <a:srgbClr val="262626"/>
      </a:dk2>
      <a:lt2>
        <a:srgbClr val="E7E6E6"/>
      </a:lt2>
      <a:accent1>
        <a:srgbClr val="001E60"/>
      </a:accent1>
      <a:accent2>
        <a:srgbClr val="F68D2E"/>
      </a:accent2>
      <a:accent3>
        <a:srgbClr val="688197"/>
      </a:accent3>
      <a:accent4>
        <a:srgbClr val="00C1D5"/>
      </a:accent4>
      <a:accent5>
        <a:srgbClr val="53565A"/>
      </a:accent5>
      <a:accent6>
        <a:srgbClr val="2088A7"/>
      </a:accent6>
      <a:hlink>
        <a:srgbClr val="001E60"/>
      </a:hlink>
      <a:folHlink>
        <a:srgbClr val="F68D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007_oce-sanitary_sewer_notes</Template>
  <TotalTime>7</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 Jaime - HPW</dc:creator>
  <cp:keywords/>
  <dc:description/>
  <cp:lastModifiedBy>Beigzadeh, Sahar - HPW</cp:lastModifiedBy>
  <cp:revision>11</cp:revision>
  <cp:lastPrinted>2018-07-12T22:12:00Z</cp:lastPrinted>
  <dcterms:created xsi:type="dcterms:W3CDTF">2022-11-29T17:59:00Z</dcterms:created>
  <dcterms:modified xsi:type="dcterms:W3CDTF">2023-02-02T15:19:00Z</dcterms:modified>
</cp:coreProperties>
</file>